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89" w:lineRule="exact"/>
        <w:ind w:left="1937" w:right="0" w:firstLine="0"/>
        <w:jc w:val="left"/>
        <w:rPr>
          <w:rFonts w:ascii="Times New Roman"/>
          <w:color w:val="000000"/>
          <w:spacing w:val="0"/>
          <w:sz w:val="40"/>
        </w:rPr>
      </w:pPr>
      <w:r>
        <w:bookmarkStart w:name="br1" w:id="br1"/>
      </w:r>
      <w:r>
        <w:bookmarkEnd w:id="br1"/>
      </w:r>
      <w:r>
        <w:rPr>
          <w:rFonts w:ascii="JFTCFE+FZXBSK--GBK1-0" w:hAnsi="JFTCFE+FZXBSK--GBK1-0" w:cs="JFTCFE+FZXBSK--GBK1-0"/>
          <w:color w:val="000000"/>
          <w:spacing w:val="0"/>
          <w:sz w:val="40"/>
        </w:rPr>
        <w:t>国家工程研究中心管理办法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spacing w:before="502" w:after="0" w:line="363" w:lineRule="exact"/>
        <w:ind w:left="32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第一章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总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则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20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第一条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为深入贯彻落实《中共中央国务院关于深化体制机制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6"/>
          <w:sz w:val="30"/>
        </w:rPr>
        <w:t>改革加快实施创新驱动发展战略的若干意见》（中发〔</w:t>
      </w:r>
      <w:r>
        <w:rPr>
          <w:rFonts w:ascii="IKCBJC+TimesNewRomanPSMT"/>
          <w:color w:val="000000"/>
          <w:spacing w:val="4"/>
          <w:sz w:val="30"/>
        </w:rPr>
        <w:t>2015</w:t>
      </w:r>
      <w:r>
        <w:rPr>
          <w:rFonts w:ascii="MFJKNA+FZFSK--GBK1-0" w:hAnsi="MFJKNA+FZFSK--GBK1-0" w:cs="MFJKNA+FZFSK--GBK1-0"/>
          <w:color w:val="000000"/>
          <w:spacing w:val="17"/>
          <w:sz w:val="30"/>
        </w:rPr>
        <w:t>〕</w:t>
      </w:r>
      <w:r>
        <w:rPr>
          <w:rFonts w:ascii="IKCBJC+TimesNewRomanPSMT"/>
          <w:color w:val="000000"/>
          <w:spacing w:val="0"/>
          <w:sz w:val="30"/>
        </w:rPr>
        <w:t>8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号）《关于深化中央财政科技计划（专项、基金等）管理改革的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8"/>
          <w:sz w:val="30"/>
        </w:rPr>
        <w:t>方案》（国发〔</w:t>
      </w:r>
      <w:r>
        <w:rPr>
          <w:rFonts w:ascii="IKCBJC+TimesNewRomanPSMT"/>
          <w:color w:val="000000"/>
          <w:spacing w:val="2"/>
          <w:sz w:val="30"/>
        </w:rPr>
        <w:t>2014</w:t>
      </w:r>
      <w:r>
        <w:rPr>
          <w:rFonts w:ascii="MFJKNA+FZFSK--GBK1-0" w:hAnsi="MFJKNA+FZFSK--GBK1-0" w:cs="MFJKNA+FZFSK--GBK1-0"/>
          <w:color w:val="000000"/>
          <w:spacing w:val="7"/>
          <w:sz w:val="30"/>
        </w:rPr>
        <w:t>〕</w:t>
      </w:r>
      <w:r>
        <w:rPr>
          <w:rFonts w:ascii="IKCBJC+TimesNewRomanPSMT"/>
          <w:color w:val="000000"/>
          <w:spacing w:val="1"/>
          <w:sz w:val="30"/>
        </w:rPr>
        <w:t>64</w:t>
      </w:r>
      <w:r>
        <w:rPr>
          <w:rFonts w:ascii="Times New Roman"/>
          <w:color w:val="000000"/>
          <w:spacing w:val="4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8"/>
          <w:sz w:val="30"/>
        </w:rPr>
        <w:t>号）等决策部署，规范和加强国家工程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研究中心建设及运行管理，加快提高创新能力，根据《科学技术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进步法》《促进科技成果转化法》等有关法律法规规定，制定本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办法。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本办法适用于对国家工程研究中心（</w:t>
      </w:r>
      <w:r>
        <w:rPr>
          <w:rFonts w:ascii="ULMSTO+FZKTK--GBK1-0" w:hAnsi="ULMSTO+FZKTK--GBK1-0" w:cs="ULMSTO+FZKTK--GBK1-0"/>
          <w:color w:val="000000"/>
          <w:spacing w:val="5"/>
          <w:sz w:val="30"/>
        </w:rPr>
        <w:t>以下简称“工程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LMSTO+FZKTK--GBK1-0" w:hAnsi="ULMSTO+FZKTK--GBK1-0" w:cs="ULMSTO+FZKTK--GBK1-0"/>
          <w:color w:val="000000"/>
          <w:spacing w:val="0"/>
          <w:sz w:val="30"/>
        </w:rPr>
        <w:t>中心”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）的申报、组建、评价等管理行为。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本办法所称工程中心，是指国家发展改革委根据建设现代化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经济体系的重大战略需求，以服务国家重大战略任务和重点工程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实施为目标，组织具有较强研究开发和综合实力的企业、科研单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位、高等院校等建设的研究开发实体。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工程中心是国家创新体系的重要组成部分。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11"/>
          <w:sz w:val="30"/>
        </w:rPr>
        <w:t>第三条</w:t>
      </w:r>
      <w:r>
        <w:rPr>
          <w:rFonts w:ascii="Times New Roman"/>
          <w:color w:val="000000"/>
          <w:spacing w:val="248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建设工程中心旨在坚定实施创新驱动发展战略，服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务经济社会发展，支撑关键核心技术研发，围绕产业链部署创新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链，围绕创新链布局产业链，提升产业链供应链稳定性和竞争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416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963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2" w:id="br2"/>
      </w:r>
      <w:r>
        <w:bookmarkEnd w:id="br2"/>
      </w:r>
      <w:r>
        <w:rPr>
          <w:rFonts w:ascii="MFJKNA+FZFSK--GBK1-0" w:hAnsi="MFJKNA+FZFSK--GBK1-0" w:cs="MFJKNA+FZFSK--GBK1-0"/>
          <w:color w:val="000000"/>
          <w:spacing w:val="22"/>
          <w:sz w:val="30"/>
        </w:rPr>
        <w:t>力，推动经济高质量发展。工程中心以国家和行业需求为出发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点，通过建立工程化研究、验证设施和有利于技术创新、成果转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化的机制，培育、提高创新能力，搭建产业发展与科技创新之间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的桥梁，推动产业关键共性技术、前沿引领技术、现代工程技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术、颠覆性技术创新，加快科研成果向现实生产力转化，促进重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大科研成果转化应用以及产业基础高级化和产业链现代化。工程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中心建设的主要目的是：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（一）坚持目标导向，着眼加快重大科技成果工程化、产业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化，布局建设开放服务的创新平台，为各类创新主体开展实验室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技术熟化、工程化放大和可靠性验证等活动提供基础条件，促进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提高科技成果转化能力和转化效率；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（二）坚持问题导向，瞄准国家战略任务和重点工程实施中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的重大技术难题，以及保产业链供应链稳定的关键领域环节，引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导优势创新单元组建创新联合体，突破关键核心技术和重大装备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等瓶颈制约，提高科技创新服务经济社会发展的能力；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（三）坚持结果导向，围绕提升产学研协同创新的效能，深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化体制机制改革和创新，探索建立知识、技术、数据等生产要素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由市场评价贡献、按贡献决定报酬的机制，激发科技人员推动技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术创新和科技成果转化的积极性、主动性和创造性。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第四条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工程中心的主要任务包括：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（一）面向国家重大战略任务和重点工程建设需求，开展关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键技术攻关和实验研究；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755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3" w:id="br3"/>
      </w:r>
      <w:r>
        <w:bookmarkEnd w:id="br3"/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（二）以市场为导向，研判产业发展态势及需求，开展具有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重要应用价值的重大科技成果的工程化和系统集成，研制重大装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备样机及其关键部件；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（三）推动技术转移和扩散，持续不断地为规模化生产提供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成熟的先进技术、工艺及其技术产品和装备；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（四）积极开展国际交流合作，为企业应用国际先进技术、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制定采用国际标准、推动国际技术转移扩散等提供支撑服务；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（五）提供工程技术验证和咨询服务，研究产业技术标准；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（六）为行业培养工程技术研究与管理的高层次人才。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第五条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工程中心的责任与义务主要包括：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（一）根据组建方案及相关要求，实现设定的研究开发和成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果转化目标，持续推动产业技术进步和创新能力提升；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（二）主动组织或参与产业关键核心技术、共性技术开发，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并为行业提供高水平技术开发、科技成果工程化试验验证环境；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（三）承担国家和行业下达的科技开发及工程化研究任务，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并依据合同按时完成任务；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（四）通过市场机制向行业转移和扩散承担国家和行业任务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所形成的技术成果，起到产业发展与科技创新之间的桥梁作用。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3137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第二章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组织管理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18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第六条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国家发展改革委负责指导协调工程中心建设及运行管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理相关工作，主要负责：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4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4" w:id="br4"/>
      </w:r>
      <w:r>
        <w:bookmarkEnd w:id="br4"/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（一）会同国务院有关部门制定支持工程中心建设的有关政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策，指导工程中心的建设和发展；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（二）组织论证工程中心组建方案，对符合条件的支持启动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建设；对完成筹建任务的工程中心，予以核定并进行监督管理；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（三）批复工程中心创新能力建设项目，下达中央预算内投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资计划；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（四）组织工程中心运行评价，会同国务院有关部门落实工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程中心建设后补助资金和相关进口税收优惠政策。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第七条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国务院有关部门，各省、自治区、直辖市、计划单列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市及新疆生产建设兵团发展改革部门，计划单列中央企业（集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团）是工程中心建设的主管部门，主要负责：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（一）组织所属工程中心创新能力建设项目的申报和管理，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督促、协调落实建设条件；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（二）组织工程中心组建任务、创新能力建设项目验收，以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及工程中心运行的监督管理；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（三）根据国家有关规定建立相应的监督管理制度，配合有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关部门做好审计、监察和检查等各项工作；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（四）按规定给予工程中心资金和政策支持。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第八条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工程中心实施主体单位主要负责：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（一）根据组建方案及有关文件要求，推进工程中心组建；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（二）落实工程中心建设与运行条件，筹措工程中心建设和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运行经费，保障工程中心顺利建设和正常运行；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755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5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5" w:id="br5"/>
      </w:r>
      <w:r>
        <w:bookmarkEnd w:id="br5"/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（三）承担国家有关部门委托的研发任务，保证工程中心的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开放运行和共用共享，为国家相关重大战略任务、重点工程提供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研发和试验条件；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（四）按照有关要求向主管部门报送建设项目实施情况和工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程中心运行情况。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29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第三章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申报与组建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18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第九条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国家发展改革委根据有关重大战略部署、重大规划实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施、重大工程建设、重点区域创新发展等需要，遵循“少而精”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的原则，择优择需部署建设工程中心。国家发展改革委会同有关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方面研究提出工程中心建设领域布局，并采取适当形式发布通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知。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第十条</w:t>
      </w:r>
      <w:r>
        <w:rPr>
          <w:rFonts w:ascii="Times New Roman"/>
          <w:color w:val="000000"/>
          <w:spacing w:val="8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拟申请工程中心组建的实施主体单位（</w:t>
      </w:r>
      <w:r>
        <w:rPr>
          <w:rFonts w:ascii="ULMSTO+FZKTK--GBK1-0" w:hAnsi="ULMSTO+FZKTK--GBK1-0" w:cs="ULMSTO+FZKTK--GBK1-0"/>
          <w:color w:val="000000"/>
          <w:spacing w:val="5"/>
          <w:sz w:val="30"/>
        </w:rPr>
        <w:t>以下简称“申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ULMSTO+FZKTK--GBK1-0" w:hAnsi="ULMSTO+FZKTK--GBK1-0" w:cs="ULMSTO+FZKTK--GBK1-0"/>
          <w:color w:val="000000"/>
          <w:spacing w:val="0"/>
          <w:sz w:val="30"/>
        </w:rPr>
        <w:t>报单位”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）应具备以下条件：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（一）符合国家发展改革委发布的建设领域及相关要求；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（二）具有一批有待工程化开发、拥有自主知识产权和良好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市场前景、处于国内领先水平的重大科技成果，具有国内一流水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平的研究开发和技术集成能力及相应的人才队伍；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（三）具有以市场为导向，将重大科技成果向规模生产转化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的工程化研究验证环境和能力；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（四）具有通过市场机制实现技术转移和扩散，促进科技成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果产业化，形成良性循环的自我发展能力；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6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6" w:id="br6"/>
      </w:r>
      <w:r>
        <w:bookmarkEnd w:id="br6"/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（五）具有对科技成果产业化能力，条件允许的还应具有工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程设计、评估及建设的咨询与服务能力；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（六）具有完善的人才激励、成果转化激励和知识产权管理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等管理制度；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（七）未因严重违法失信行为被司法、行政机关依法列入联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合惩戒对象名单；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（八）符合国家其他相关规定。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第十一条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工程中心一般应采用法人形式组建和运行。对于采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取非法人形式组建的工程中心，需要与依托单位在人、财、物的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管理上保持清晰边界，评价指标数据能够独立核算、有据可查。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第十二条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鼓励相关领域的优势企业、科研单位、高等院校、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社会投资机构组建创新联合体，共同申请组建工程中心。鼓励地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方和部门层面的工程中心优先申报。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第十三条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申报单位按照国家发展改革委通知要求，结合自身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优势和具体情况，编制组建方案并向主管部门提出申请。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第十四条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主管部门采取适当形式对工程中心组建方案进行评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估论证，将符合条件的组建方案推荐给国家发展改革委。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第十五条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国家发展改革委根据主管部门推荐，委托第三方机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构或组织专家对工程中心组建方案进行论证，重点包括组建工程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中心的必要性和紧迫性、申报单位的条件、发展目标及实现可能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性等。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735" w:after="0" w:line="321" w:lineRule="exact"/>
        <w:ind w:left="755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7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171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7" w:id="br7"/>
      </w:r>
      <w:r>
        <w:bookmarkEnd w:id="br7"/>
      </w:r>
      <w:r>
        <w:rPr>
          <w:rFonts w:ascii="CLJQAO+FZHTK--GBK1-0" w:hAnsi="CLJQAO+FZHTK--GBK1-0" w:cs="CLJQAO+FZHTK--GBK1-0"/>
          <w:color w:val="000000"/>
          <w:spacing w:val="6"/>
          <w:sz w:val="30"/>
        </w:rPr>
        <w:t>第十六条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国家发展改革委会同相关部门，根据论证意见，综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合研究后，择优确定拟启动组建的工程中心，并通知相关主管部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门。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第十七条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国家发展改革委同意启动组建工作后，工程中心进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入筹建期，可暂以“××国家工程研究中心（筹）”的名义开展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工作，实施组建方案中确定的各项任务。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18"/>
          <w:sz w:val="30"/>
        </w:rPr>
        <w:t>第十八条</w:t>
      </w:r>
      <w:r>
        <w:rPr>
          <w:rFonts w:ascii="Times New Roman"/>
          <w:color w:val="000000"/>
          <w:spacing w:val="92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7"/>
          <w:sz w:val="30"/>
        </w:rPr>
        <w:t>主管部门根据国家有关规定建立相应监督管理制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度，对处于筹建期的工程中心加强监督管理，配合有关部门做好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审计、监察和检查等各项工作。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第十九条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工程中心的筹建期一般不超过三年。达到组建方案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6"/>
          <w:sz w:val="30"/>
        </w:rPr>
        <w:t>明确的筹建期发展目标后，申报单位应编制筹建期总结报告</w:t>
      </w:r>
      <w:r>
        <w:rPr>
          <w:rFonts w:ascii="IKCBJC+TimesNewRomanPSMT"/>
          <w:color w:val="000000"/>
          <w:spacing w:val="6"/>
          <w:sz w:val="30"/>
        </w:rPr>
        <w:t>(</w:t>
      </w:r>
      <w:r>
        <w:rPr>
          <w:rFonts w:ascii="MFJKNA+FZFSK--GBK1-0" w:hAnsi="MFJKNA+FZFSK--GBK1-0" w:cs="MFJKNA+FZFSK--GBK1-0"/>
          <w:color w:val="000000"/>
          <w:spacing w:val="7"/>
          <w:sz w:val="30"/>
        </w:rPr>
        <w:t>编制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6"/>
          <w:sz w:val="30"/>
        </w:rPr>
        <w:t>提纲见附件一</w:t>
      </w:r>
      <w:r>
        <w:rPr>
          <w:rFonts w:ascii="IKCBJC+TimesNewRomanPSMT"/>
          <w:color w:val="000000"/>
          <w:spacing w:val="6"/>
          <w:sz w:val="30"/>
        </w:rPr>
        <w:t>)</w:t>
      </w:r>
      <w:r>
        <w:rPr>
          <w:rFonts w:ascii="MFJKNA+FZFSK--GBK1-0" w:hAnsi="MFJKNA+FZFSK--GBK1-0" w:cs="MFJKNA+FZFSK--GBK1-0"/>
          <w:color w:val="000000"/>
          <w:spacing w:val="6"/>
          <w:sz w:val="30"/>
        </w:rPr>
        <w:t>、填写工程中心评价表并附相应证明材料，向主管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部门提出正式确认为工程中心的申请。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第二十条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主管部门对申请确认的工程中心应按照工程中心评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价指标体系进行评价；对于评价结果中等及以上的工程中心，可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向国家发展改革委提出确认申请。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第二十一条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对不能按期达到组建目标、完成组建任务的工程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中心，在筹建期结束前，可由主管部门向国家发展改革委提交延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长筹建期的书面申请，说明原因、拟采取的措施和计划完成日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期。原则上，延长筹建期的时限不能超过一年且只能申请一次。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筹建期或延长期满未完成组建任务的，取消确认为国家工程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中心的资格，且不得再以“××国家工程研究中心（筹）”的名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166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8" w:id="br8"/>
      </w:r>
      <w:r>
        <w:bookmarkEnd w:id="br8"/>
      </w:r>
      <w:r>
        <w:rPr>
          <w:rFonts w:ascii="MFJKNA+FZFSK--GBK1-0" w:hAnsi="MFJKNA+FZFSK--GBK1-0" w:cs="MFJKNA+FZFSK--GBK1-0"/>
          <w:color w:val="000000"/>
          <w:spacing w:val="10"/>
          <w:sz w:val="30"/>
        </w:rPr>
        <w:t>义开展工作，由主管部门依照本办法相关规定对后续事宜作出处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理。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第二十二条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国家发展改革委会同财政部、海关总署、税务总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局对主管部门申请确认的工程中心及总结报告、评价结果及证明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2"/>
          <w:sz w:val="30"/>
        </w:rPr>
        <w:t>材料等进行复核，对符合条件的正式确认为“国家工程研究中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心”，国家发展改革委函告海关总署、税务总局并抄送财政部；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对以非法人形式运行的工程中心，将其依托单位同时函告海关总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署、税务总局并抄报财政部，纳入国家科技创新基地序列进行管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理。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3137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第四章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运行评价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18" w:after="0" w:line="363" w:lineRule="exact"/>
        <w:ind w:left="571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6"/>
          <w:sz w:val="30"/>
        </w:rPr>
        <w:t>第二十三条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6"/>
          <w:sz w:val="30"/>
        </w:rPr>
        <w:t>工程中心实行优胜劣汰、动态调整的运行评价制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度。国家发展改革委牵头，原则上每三年对经正式确认的工程中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心进行一次集中评价。在评价年度完成确认的工程中心，可不参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加当年的集中评价。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第二十四条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国家发展改革委制定发布《国家工程研究中心评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价工作指南》，明确评价指标体系、数据采集规范、材料报送要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求等事项。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第二十五条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运行评价程序为：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（一）数据采集。工程中心应于评价年度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5</w:t>
      </w:r>
      <w:r>
        <w:rPr>
          <w:rFonts w:ascii="Times New Roman"/>
          <w:color w:val="000000"/>
          <w:spacing w:val="1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11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1</w:t>
      </w:r>
      <w:r>
        <w:rPr>
          <w:rFonts w:ascii="Times New Roman"/>
          <w:color w:val="000000"/>
          <w:spacing w:val="1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日前将评价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材料报主管部门。评价材料包括：工程中心年度工作报告、工程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中心评价数据表及其相关附件和证明材料。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7555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0"/>
          <w:sz w:val="28"/>
        </w:rPr>
        <w:t>9</w:t>
      </w:r>
      <w:r>
        <w:rPr>
          <w:rFonts w:ascii="Times New Roman"/>
          <w:color w:val="000000"/>
          <w:spacing w:val="66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9" w:id="br9"/>
      </w:r>
      <w:r>
        <w:bookmarkEnd w:id="br9"/>
      </w: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（二）数据初审。主管部门对工程中心报送的评价材料进行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7"/>
          <w:sz w:val="30"/>
        </w:rPr>
        <w:t>核实，并对材料完整性、真实性出具意见，于评价年度的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5</w:t>
      </w:r>
      <w:r>
        <w:rPr>
          <w:rFonts w:ascii="Times New Roman"/>
          <w:color w:val="000000"/>
          <w:spacing w:val="8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7"/>
          <w:sz w:val="30"/>
        </w:rPr>
        <w:t xml:space="preserve"> </w:t>
      </w:r>
      <w:r>
        <w:rPr>
          <w:rFonts w:ascii="IKCBJC+TimesNewRomanPSMT"/>
          <w:color w:val="000000"/>
          <w:spacing w:val="1"/>
          <w:sz w:val="30"/>
        </w:rPr>
        <w:t>31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日前将评价材料报送国家发展改革委。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（三）数据核实。国家发展改革委委托第三方机构对工程中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心报送的评价材料及相关情况进行核实，按照评价工作指南的规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定进行计算、分析，形成评价结果。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（四）国家发展改革委会同财政部、海关总署、税务总局对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评价结果进行确认，并向主管部门通报评价结果。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第二十六条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工程中心评价结果分为优秀、良好、中等、基本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合格和不合格。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第二十七条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工程中心应当定期填报免税进口科技开发用品统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2"/>
          <w:sz w:val="30"/>
        </w:rPr>
        <w:t>计表</w:t>
      </w:r>
      <w:r>
        <w:rPr>
          <w:rFonts w:ascii="IKCBJC+TimesNewRomanPSMT"/>
          <w:color w:val="000000"/>
          <w:spacing w:val="3"/>
          <w:sz w:val="30"/>
        </w:rPr>
        <w:t>(</w:t>
      </w:r>
      <w:r>
        <w:rPr>
          <w:rFonts w:ascii="MFJKNA+FZFSK--GBK1-0" w:hAnsi="MFJKNA+FZFSK--GBK1-0" w:cs="MFJKNA+FZFSK--GBK1-0"/>
          <w:color w:val="000000"/>
          <w:spacing w:val="2"/>
          <w:sz w:val="30"/>
        </w:rPr>
        <w:t>详见附件二</w:t>
      </w:r>
      <w:r>
        <w:rPr>
          <w:rFonts w:ascii="IKCBJC+TimesNewRomanPSMT"/>
          <w:color w:val="000000"/>
          <w:spacing w:val="3"/>
          <w:sz w:val="30"/>
        </w:rPr>
        <w:t>)</w:t>
      </w:r>
      <w:r>
        <w:rPr>
          <w:rFonts w:ascii="MFJKNA+FZFSK--GBK1-0" w:hAnsi="MFJKNA+FZFSK--GBK1-0" w:cs="MFJKNA+FZFSK--GBK1-0"/>
          <w:color w:val="000000"/>
          <w:spacing w:val="2"/>
          <w:sz w:val="30"/>
        </w:rPr>
        <w:t>，于每年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4</w:t>
      </w:r>
      <w:r>
        <w:rPr>
          <w:rFonts w:ascii="Times New Roman"/>
          <w:color w:val="000000"/>
          <w:spacing w:val="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1</w:t>
      </w:r>
      <w:r>
        <w:rPr>
          <w:rFonts w:ascii="Times New Roman"/>
          <w:color w:val="000000"/>
          <w:spacing w:val="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3"/>
          <w:sz w:val="30"/>
        </w:rPr>
        <w:t>日前报送省级财政、税务部门，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5"/>
          <w:sz w:val="30"/>
        </w:rPr>
        <w:t>由各省级财政、税务部门汇总后于每年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4</w:t>
      </w:r>
      <w:r>
        <w:rPr>
          <w:rFonts w:ascii="Times New Roman"/>
          <w:color w:val="000000"/>
          <w:spacing w:val="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7"/>
          <w:sz w:val="30"/>
        </w:rPr>
        <w:t xml:space="preserve"> </w:t>
      </w:r>
      <w:r>
        <w:rPr>
          <w:rFonts w:ascii="IKCBJC+TimesNewRomanPSMT"/>
          <w:color w:val="000000"/>
          <w:spacing w:val="1"/>
          <w:sz w:val="30"/>
        </w:rPr>
        <w:t>15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4"/>
          <w:sz w:val="30"/>
        </w:rPr>
        <w:t>日前报送财政部、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税务总局。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3137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第五章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支持政策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436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第二十八条</w:t>
      </w:r>
      <w:r>
        <w:rPr>
          <w:rFonts w:ascii="Times New Roman"/>
          <w:color w:val="000000"/>
          <w:spacing w:val="76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进入筹建期的工程中心，根据建设需要，可提出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2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创新能力建设项目。国家发展改革委按照《中央预算内投资补助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和贴息项目管理办法》（国家发展改革委令第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IKCBJC+TimesNewRomanPSMT"/>
          <w:color w:val="000000"/>
          <w:spacing w:val="1"/>
          <w:sz w:val="30"/>
        </w:rPr>
        <w:t>45</w:t>
      </w:r>
      <w:r>
        <w:rPr>
          <w:rFonts w:ascii="Times New Roman"/>
          <w:color w:val="000000"/>
          <w:spacing w:val="-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号）、《国家发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展改革委关于规范中央预算内投资资金安排方式及项目管理的通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知》（发改投资规〔</w:t>
      </w:r>
      <w:r>
        <w:rPr>
          <w:rFonts w:ascii="IKCBJC+TimesNewRomanPSMT"/>
          <w:color w:val="000000"/>
          <w:spacing w:val="0"/>
          <w:sz w:val="30"/>
        </w:rPr>
        <w:t>2020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〕</w:t>
      </w:r>
      <w:r>
        <w:rPr>
          <w:rFonts w:ascii="IKCBJC+TimesNewRomanPSMT"/>
          <w:color w:val="000000"/>
          <w:spacing w:val="0"/>
          <w:sz w:val="30"/>
        </w:rPr>
        <w:t>518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号）及《高技术产业发展项目中央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814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10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171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10" w:id="br10"/>
      </w:r>
      <w:r>
        <w:bookmarkEnd w:id="br10"/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预算内投资（补助）暂行管理办法》（发改高技规〔</w:t>
      </w:r>
      <w:r>
        <w:rPr>
          <w:rFonts w:ascii="IKCBJC+TimesNewRomanPSMT"/>
          <w:color w:val="000000"/>
          <w:spacing w:val="0"/>
          <w:sz w:val="30"/>
        </w:rPr>
        <w:t>2016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〕</w:t>
      </w:r>
      <w:r>
        <w:rPr>
          <w:rFonts w:ascii="IKCBJC+TimesNewRomanPSMT"/>
          <w:color w:val="000000"/>
          <w:spacing w:val="0"/>
          <w:sz w:val="30"/>
        </w:rPr>
        <w:t>2514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号）等国家高技术产业发展项目管理规定予以研究支持。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315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第二十九条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国家发展改革委依据运行评价结果，根据《中央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财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政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科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技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计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划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（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专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项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、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基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金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等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）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后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补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助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管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理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办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法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》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（</w:t>
      </w:r>
      <w:r>
        <w:rPr>
          <w:rFonts w:ascii="Times New Roman"/>
          <w:color w:val="000000"/>
          <w:spacing w:val="-2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财</w:t>
      </w:r>
      <w:r>
        <w:rPr>
          <w:rFonts w:ascii="Times New Roman"/>
          <w:color w:val="000000"/>
          <w:spacing w:val="-27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教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〔</w:t>
      </w:r>
      <w:r>
        <w:rPr>
          <w:rFonts w:ascii="IKCBJC+TimesNewRomanPSMT"/>
          <w:color w:val="000000"/>
          <w:spacing w:val="0"/>
          <w:sz w:val="30"/>
        </w:rPr>
        <w:t>2019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〕</w:t>
      </w:r>
      <w:r>
        <w:rPr>
          <w:rFonts w:ascii="IKCBJC+TimesNewRomanPSMT"/>
          <w:color w:val="000000"/>
          <w:spacing w:val="0"/>
          <w:sz w:val="30"/>
        </w:rPr>
        <w:t>226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号）规定，组织工程中心申请国家后补助资金支持。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18"/>
          <w:sz w:val="30"/>
        </w:rPr>
        <w:t>第三十条</w:t>
      </w:r>
      <w:r>
        <w:rPr>
          <w:rFonts w:ascii="Times New Roman"/>
          <w:color w:val="000000"/>
          <w:spacing w:val="92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7"/>
          <w:sz w:val="30"/>
        </w:rPr>
        <w:t>通过正式确认的工程中心，自确认文件印发之日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起，进口科技开发用品按照国家相关进口税收政策执行。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第三十一条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国家鼓励和支持工程中心及其分支机构在海关综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合保税区建设发展，并享受相关政策支持。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3137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第六章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监督管理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18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第三十二条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工程中心需要对组建方案中明确的目标任务作重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大调整的，应及时向主管部门报告：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（一）对于不影响实现工程中心功能和任务的调整，由主管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部门负责审核，报国家发展改革委备案；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（二）对于发生重大变化，影响工程中心功能实现的，由主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管部门提出调整建议，报国家发展改革委审核。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第三十三条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主管部门应将工程中心建设单位或依托单位发生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更名、重组等变更情况及时报送国家发展改革委。国家发展改革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委对主管部门报送的工程中心建设单位或依托单位变更情况进行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确认并函告海关总署。其中，对经确认取消工程中心资格的，自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变更之日起，停止享受国家支持科技创新进口税收政策。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47" w:after="0" w:line="321" w:lineRule="exact"/>
        <w:ind w:left="74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11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089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11" w:id="br11"/>
      </w:r>
      <w:r>
        <w:bookmarkEnd w:id="br11"/>
      </w: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第三十四条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主管部门应对工程中心报送的材料和数据承担核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实责任，确保真实可靠。工程中心提供虚假材料和数据的行为，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一经核实，记入其实施主体单位的信用记录，并纳入全国信用信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息共享平台。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17"/>
          <w:sz w:val="30"/>
        </w:rPr>
        <w:t>第三十五条</w:t>
      </w:r>
      <w:r>
        <w:rPr>
          <w:rFonts w:ascii="Times New Roman"/>
          <w:color w:val="000000"/>
          <w:spacing w:val="92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7"/>
          <w:sz w:val="30"/>
        </w:rPr>
        <w:t>有下列情形之一的，国家发展改革委会同财政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部、海关总署、税务总局，撤销其工程中心称号：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87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（一）运行评价结果不合格的；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89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（二）连续两次运行评价结果均为基本合格的；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5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（三）逾期未报送评价材料的；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（四）提供虚假材料和数据的；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（五）主要由于技术原因发生重大质量、安全事故的；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（六）因违反《海关法》及有关法律、行政法规，构成走私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行为，受到刑事、行政处罚，或因严重违反海关监管规定受到行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政处罚的；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（七）因违反《税收征收管理法》及有关法律、行政法规，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构成偷税、骗取出口退税等严重税收违法行为的；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（八）因严重违法失信行为被司法、行政机关依法列入联合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惩戒对象名单的；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1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（九）工程中心被依法终止的。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第三十六条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国家发展改革委商有关部门后向主管部门通报工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程中心撤销情况，并函送海关总署、税务总局并抄送财政部。被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035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12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166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12" w:id="br12"/>
      </w:r>
      <w:r>
        <w:bookmarkEnd w:id="br12"/>
      </w:r>
      <w:r>
        <w:rPr>
          <w:rFonts w:ascii="MFJKNA+FZFSK--GBK1-0" w:hAnsi="MFJKNA+FZFSK--GBK1-0" w:cs="MFJKNA+FZFSK--GBK1-0"/>
          <w:color w:val="000000"/>
          <w:spacing w:val="10"/>
          <w:sz w:val="30"/>
        </w:rPr>
        <w:t>撤销的工程中心，自通报文件印发之日起停止享受国家相关进口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税收政策。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31" w:after="0" w:line="363" w:lineRule="exact"/>
        <w:ind w:left="32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第七章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附</w:t>
      </w:r>
      <w:r>
        <w:rPr>
          <w:rFonts w:ascii="Times New Roman"/>
          <w:color w:val="000000"/>
          <w:spacing w:val="225"/>
          <w:sz w:val="30"/>
        </w:rPr>
        <w:t xml:space="preserve"> </w: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则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518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第三十七条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国家工程研究中心统一命名为：“××国家工程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0"/>
          <w:sz w:val="30"/>
        </w:rPr>
        <w:t>研究中心”，英文名称为：“</w:t>
      </w:r>
      <w:r>
        <w:rPr>
          <w:rFonts w:ascii="IKCBJC+TimesNewRomanPSMT"/>
          <w:color w:val="000000"/>
          <w:spacing w:val="0"/>
          <w:sz w:val="30"/>
        </w:rPr>
        <w:t>National</w:t>
      </w:r>
      <w:r>
        <w:rPr>
          <w:rFonts w:ascii="Times New Roman"/>
          <w:color w:val="000000"/>
          <w:spacing w:val="1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Engineering</w:t>
      </w:r>
      <w:r>
        <w:rPr>
          <w:rFonts w:ascii="Times New Roman"/>
          <w:color w:val="000000"/>
          <w:spacing w:val="8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Research</w:t>
      </w:r>
      <w:r>
        <w:rPr>
          <w:rFonts w:ascii="Times New Roman"/>
          <w:color w:val="000000"/>
          <w:spacing w:val="1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Center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IKCBJC+TimesNewRomanPSMT"/>
          <w:color w:val="000000"/>
          <w:spacing w:val="1"/>
          <w:sz w:val="30"/>
        </w:rPr>
        <w:t>of</w:t>
      </w:r>
      <w:r>
        <w:rPr>
          <w:rFonts w:ascii="Times New Roman"/>
          <w:color w:val="000000"/>
          <w:spacing w:val="74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××”。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5"/>
          <w:sz w:val="30"/>
        </w:rPr>
        <w:t>第三十八条</w:t>
      </w:r>
      <w:r>
        <w:rPr>
          <w:rFonts w:ascii="Times New Roman"/>
          <w:color w:val="000000"/>
          <w:spacing w:val="8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有关地方和国务院有关部门可参考本办法制定本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地区、本部门工程研究中心管理办法。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国家地方联合工程研究中心和工程实验室参照本办法进行管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理，不享受本办法规定的支持政策。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63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2"/>
          <w:sz w:val="30"/>
        </w:rPr>
        <w:t>第三十九条</w:t>
      </w:r>
      <w:r>
        <w:rPr>
          <w:rFonts w:ascii="Times New Roman"/>
          <w:color w:val="000000"/>
          <w:spacing w:val="79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2"/>
          <w:sz w:val="30"/>
        </w:rPr>
        <w:t>本办法由国家发展改革委负责解释，自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2020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年</w:t>
      </w:r>
      <w:r>
        <w:rPr>
          <w:rFonts w:ascii="Times New Roman"/>
          <w:color w:val="000000"/>
          <w:spacing w:val="4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9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4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1</w:t>
      </w:r>
      <w:r>
        <w:rPr>
          <w:rFonts w:ascii="Times New Roman"/>
          <w:color w:val="000000"/>
          <w:spacing w:val="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日起施行，有效期至</w:t>
      </w:r>
      <w:r>
        <w:rPr>
          <w:rFonts w:ascii="Times New Roman"/>
          <w:color w:val="000000"/>
          <w:spacing w:val="-1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2025</w:t>
      </w:r>
      <w:r>
        <w:rPr>
          <w:rFonts w:ascii="Times New Roman"/>
          <w:color w:val="000000"/>
          <w:spacing w:val="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年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9</w:t>
      </w:r>
      <w:r>
        <w:rPr>
          <w:rFonts w:ascii="Times New Roman"/>
          <w:color w:val="000000"/>
          <w:spacing w:val="5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月</w:t>
      </w:r>
      <w:r>
        <w:rPr>
          <w:rFonts w:ascii="Times New Roman"/>
          <w:color w:val="000000"/>
          <w:spacing w:val="7"/>
          <w:sz w:val="30"/>
        </w:rPr>
        <w:t xml:space="preserve"> </w:t>
      </w:r>
      <w:r>
        <w:rPr>
          <w:rFonts w:ascii="IKCBJC+TimesNewRomanPSMT"/>
          <w:color w:val="000000"/>
          <w:spacing w:val="0"/>
          <w:sz w:val="30"/>
        </w:rPr>
        <w:t>1</w:t>
      </w:r>
      <w:r>
        <w:rPr>
          <w:rFonts w:ascii="Times New Roman"/>
          <w:color w:val="000000"/>
          <w:spacing w:val="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日。《国家工程研究中心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5"/>
          <w:sz w:val="30"/>
        </w:rPr>
        <w:t>管理办法》（国家发展改革委令第</w:t>
      </w:r>
      <w:r>
        <w:rPr>
          <w:rFonts w:ascii="Times New Roman"/>
          <w:color w:val="000000"/>
          <w:spacing w:val="0"/>
          <w:sz w:val="30"/>
        </w:rPr>
        <w:t xml:space="preserve"> </w:t>
      </w:r>
      <w:r>
        <w:rPr>
          <w:rFonts w:ascii="IKCBJC+TimesNewRomanPSMT"/>
          <w:color w:val="000000"/>
          <w:spacing w:val="1"/>
          <w:sz w:val="30"/>
        </w:rPr>
        <w:t>52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5"/>
          <w:sz w:val="30"/>
        </w:rPr>
        <w:t>号）和《国家工程实验室管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6" w:after="0" w:line="350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理办法（试行）》（国家发展改革委令第</w:t>
      </w:r>
      <w:r>
        <w:rPr>
          <w:rFonts w:ascii="Times New Roman"/>
          <w:color w:val="000000"/>
          <w:spacing w:val="2"/>
          <w:sz w:val="30"/>
        </w:rPr>
        <w:t xml:space="preserve"> </w:t>
      </w:r>
      <w:r>
        <w:rPr>
          <w:rFonts w:ascii="IKCBJC+TimesNewRomanPSMT"/>
          <w:color w:val="000000"/>
          <w:spacing w:val="1"/>
          <w:sz w:val="30"/>
        </w:rPr>
        <w:t>54</w:t>
      </w:r>
      <w:r>
        <w:rPr>
          <w:rFonts w:ascii="Times New Roman"/>
          <w:color w:val="000000"/>
          <w:spacing w:val="-3"/>
          <w:sz w:val="30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0"/>
          <w:sz w:val="30"/>
        </w:rPr>
        <w:t>号）同时废止。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4263" w:after="0" w:line="321" w:lineRule="exact"/>
        <w:ind w:left="74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13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2171" w:right="100" w:bottom="0" w:left="1615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13" w:id="br13"/>
      </w:r>
      <w:r>
        <w:bookmarkEnd w:id="br13"/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附件一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60" w:after="0" w:line="489" w:lineRule="exact"/>
        <w:ind w:left="1337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JFTCFE+FZXBSK--GBK1-0" w:hAnsi="JFTCFE+FZXBSK--GBK1-0" w:cs="JFTCFE+FZXBSK--GBK1-0"/>
          <w:color w:val="000000"/>
          <w:spacing w:val="0"/>
          <w:sz w:val="40"/>
        </w:rPr>
        <w:t>国家工程研究中心筹建期总结报告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spacing w:before="99" w:after="0" w:line="489" w:lineRule="exact"/>
        <w:ind w:left="3538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JFTCFE+FZXBSK--GBK1-0" w:hAnsi="JFTCFE+FZXBSK--GBK1-0" w:cs="JFTCFE+FZXBSK--GBK1-0"/>
          <w:color w:val="000000"/>
          <w:spacing w:val="0"/>
          <w:sz w:val="40"/>
        </w:rPr>
        <w:t>编制提纲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spacing w:before="752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一、摘要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二、筹建期工作概述及取得的重大成效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三、主要建设内容完成情况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2" w:after="0" w:line="347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包括建安工程、实验室仪器设备配置、研发和工程化试验设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40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施、分析检测手段、关键工程软件、配套条件等。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33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四、财务决算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324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包括资金筹措、工程决算及第三方审计报告、科研经费、流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52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动资金及其他情况。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54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五、运行机制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324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包括组织机构、规章制度、管理与激励机制、主要负责人和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52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研发队伍等。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54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六、筹建期发展目标完成情况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324" w:after="0" w:line="347" w:lineRule="exact"/>
        <w:ind w:left="588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11"/>
          <w:sz w:val="30"/>
        </w:rPr>
        <w:t>包括关键技术开发与工程化、对外合作交流、技术转移与扩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52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散、服务行业发展、经济效益、人才培养等。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154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七、中长期任务与目标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八、其他需说明事项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225" w:after="0" w:line="363" w:lineRule="exact"/>
        <w:ind w:left="60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CLJQAO+FZHTK--GBK1-0" w:hAnsi="CLJQAO+FZHTK--GBK1-0" w:cs="CLJQAO+FZHTK--GBK1-0"/>
          <w:color w:val="000000"/>
          <w:spacing w:val="0"/>
          <w:sz w:val="30"/>
        </w:rPr>
        <w:t>九、相关附件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734" w:after="0" w:line="321" w:lineRule="exact"/>
        <w:ind w:left="14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5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14</w:t>
      </w:r>
      <w:r>
        <w:rPr>
          <w:rFonts w:ascii="Times New Roman"/>
          <w:color w:val="000000"/>
          <w:spacing w:val="67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363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bookmarkStart w:name="br14" w:id="br14"/>
      </w:r>
      <w:r>
        <w:bookmarkEnd w:id="br14"/>
      </w:r>
      <w:r>
        <w:rPr>
          <w:noProof w:val="on"/>
        </w:rPr>
        <w:pict>
          <v:shape xmlns:v="urn:schemas-microsoft-com:vml" id="_x00000" style="position:absolute;margin-left:78.8pt;margin-top:244.35pt;z-index:-3;width:443.4pt;height:247.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CLJQAO+FZHTK--GBK1-0" w:hAnsi="CLJQAO+FZHTK--GBK1-0" w:cs="CLJQAO+FZHTK--GBK1-0"/>
          <w:color w:val="000000"/>
          <w:spacing w:val="0"/>
          <w:sz w:val="30"/>
        </w:rPr>
        <w:t>附件二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748" w:after="0" w:line="489" w:lineRule="exact"/>
        <w:ind w:left="1738" w:right="0" w:firstLine="0"/>
        <w:jc w:val="left"/>
        <w:rPr>
          <w:rFonts w:ascii="Times New Roman"/>
          <w:color w:val="000000"/>
          <w:spacing w:val="0"/>
          <w:sz w:val="40"/>
        </w:rPr>
      </w:pPr>
      <w:r>
        <w:rPr>
          <w:rFonts w:ascii="JFTCFE+FZXBSK--GBK1-0" w:hAnsi="JFTCFE+FZXBSK--GBK1-0" w:cs="JFTCFE+FZXBSK--GBK1-0"/>
          <w:color w:val="000000"/>
          <w:spacing w:val="0"/>
          <w:sz w:val="40"/>
        </w:rPr>
        <w:t>免税进口科技开发用品统计表</w:t>
      </w:r>
      <w:r>
        <w:rPr>
          <w:rFonts w:ascii="Times New Roman"/>
          <w:color w:val="000000"/>
          <w:spacing w:val="0"/>
          <w:sz w:val="40"/>
        </w:rPr>
      </w:r>
    </w:p>
    <w:p>
      <w:pPr>
        <w:pStyle w:val="Normal"/>
        <w:spacing w:before="759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国家工程研究中心名称：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318" w:after="0" w:line="245" w:lineRule="exact"/>
        <w:ind w:left="143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MFJKNA+FZFSK--GBK1-0" w:hAnsi="MFJKNA+FZFSK--GBK1-0" w:cs="MFJKNA+FZFSK--GBK1-0"/>
          <w:color w:val="000000"/>
          <w:spacing w:val="1"/>
          <w:sz w:val="21"/>
        </w:rPr>
        <w:t>进口货物</w:t>
      </w:r>
      <w:r>
        <w:rPr>
          <w:rFonts w:ascii="Times New Roman"/>
          <w:color w:val="000000"/>
          <w:spacing w:val="1251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进口金额</w:t>
      </w:r>
      <w:r>
        <w:rPr>
          <w:rFonts w:ascii="Times New Roman"/>
          <w:color w:val="000000"/>
          <w:spacing w:val="298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免征进口关税</w:t>
      </w:r>
      <w:r>
        <w:rPr>
          <w:rFonts w:ascii="Times New Roman"/>
          <w:color w:val="000000"/>
          <w:spacing w:val="363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免征进口环节增值税、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48" w:after="0" w:line="245" w:lineRule="exact"/>
        <w:ind w:left="8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MFJKNA+FZFSK--GBK1-0" w:hAnsi="MFJKNA+FZFSK--GBK1-0" w:cs="MFJKNA+FZFSK--GBK1-0"/>
          <w:color w:val="000000"/>
          <w:spacing w:val="1"/>
          <w:sz w:val="21"/>
        </w:rPr>
        <w:t>序号</w:t>
      </w:r>
      <w:r>
        <w:rPr>
          <w:rFonts w:ascii="Times New Roman"/>
          <w:color w:val="000000"/>
          <w:spacing w:val="200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年份</w:t>
      </w:r>
      <w:r>
        <w:rPr>
          <w:rFonts w:ascii="Times New Roman"/>
          <w:color w:val="000000"/>
          <w:spacing w:val="1236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进口数量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50" w:after="0" w:line="245" w:lineRule="exact"/>
        <w:ind w:left="1642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MFJKNA+FZFSK--GBK1-0" w:hAnsi="MFJKNA+FZFSK--GBK1-0" w:cs="MFJKNA+FZFSK--GBK1-0"/>
          <w:color w:val="000000"/>
          <w:spacing w:val="1"/>
          <w:sz w:val="21"/>
        </w:rPr>
        <w:t>名称</w:t>
      </w:r>
      <w:r>
        <w:rPr>
          <w:rFonts w:ascii="Times New Roman"/>
          <w:color w:val="000000"/>
          <w:spacing w:val="1462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（万元）</w:t>
      </w:r>
      <w:r>
        <w:rPr>
          <w:rFonts w:ascii="Times New Roman"/>
          <w:color w:val="000000"/>
          <w:spacing w:val="298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金额（万元）</w:t>
      </w:r>
      <w:r>
        <w:rPr>
          <w:rFonts w:ascii="Times New Roman"/>
          <w:color w:val="000000"/>
          <w:spacing w:val="469"/>
          <w:sz w:val="21"/>
        </w:rPr>
        <w:t xml:space="preserve"> </w:t>
      </w:r>
      <w:r>
        <w:rPr>
          <w:rFonts w:ascii="MFJKNA+FZFSK--GBK1-0" w:hAnsi="MFJKNA+FZFSK--GBK1-0" w:cs="MFJKNA+FZFSK--GBK1-0"/>
          <w:color w:val="000000"/>
          <w:spacing w:val="1"/>
          <w:sz w:val="21"/>
        </w:rPr>
        <w:t>消费税金额（万元）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2" w:after="0" w:line="241" w:lineRule="exact"/>
        <w:ind w:left="24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KCBJC+TimesNewRomanPSMT"/>
          <w:color w:val="000000"/>
          <w:spacing w:val="0"/>
          <w:sz w:val="21"/>
        </w:rPr>
        <w:t>1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3" w:after="0" w:line="241" w:lineRule="exact"/>
        <w:ind w:left="24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KCBJC+TimesNewRomanPSMT"/>
          <w:color w:val="000000"/>
          <w:spacing w:val="0"/>
          <w:sz w:val="21"/>
        </w:rPr>
        <w:t>2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1" w:after="0" w:line="241" w:lineRule="exact"/>
        <w:ind w:left="24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KCBJC+TimesNewRomanPSMT"/>
          <w:color w:val="000000"/>
          <w:spacing w:val="0"/>
          <w:sz w:val="21"/>
        </w:rPr>
        <w:t>3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1" w:after="0" w:line="241" w:lineRule="exact"/>
        <w:ind w:left="18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IKCBJC+TimesNewRomanPSMT" w:hAnsi="IKCBJC+TimesNewRomanPSMT" w:cs="IKCBJC+TimesNewRomanPSMT"/>
          <w:color w:val="000000"/>
          <w:spacing w:val="0"/>
          <w:sz w:val="21"/>
        </w:rPr>
        <w:t>…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3" w:after="0" w:line="241" w:lineRule="exact"/>
        <w:ind w:left="24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VUAKHB+TimesNewRomanPS-ItalicMT"/>
          <w:color w:val="000000"/>
          <w:spacing w:val="0"/>
          <w:sz w:val="21"/>
        </w:rPr>
        <w:t>n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77" w:after="0" w:line="219" w:lineRule="exact"/>
        <w:ind w:left="967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FangSong" w:hAnsi="FangSong" w:cs="FangSong"/>
          <w:color w:val="000000"/>
          <w:spacing w:val="1"/>
          <w:sz w:val="21"/>
        </w:rPr>
        <w:t>合计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spacing w:before="315" w:after="0" w:line="347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MFJKNA+FZFSK--GBK1-0" w:hAnsi="MFJKNA+FZFSK--GBK1-0" w:cs="MFJKNA+FZFSK--GBK1-0"/>
          <w:color w:val="000000"/>
          <w:spacing w:val="0"/>
          <w:sz w:val="30"/>
        </w:rPr>
        <w:t>有关问题说明：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spacing w:before="4745" w:after="0" w:line="321" w:lineRule="exact"/>
        <w:ind w:left="7409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68"/>
          <w:sz w:val="28"/>
        </w:rPr>
        <w:t xml:space="preserve"> </w:t>
      </w:r>
      <w:r>
        <w:rPr>
          <w:rFonts w:ascii="IKCBJC+TimesNewRomanPSMT"/>
          <w:color w:val="000000"/>
          <w:spacing w:val="4"/>
          <w:sz w:val="28"/>
        </w:rPr>
        <w:t>15</w:t>
      </w:r>
      <w:r>
        <w:rPr>
          <w:rFonts w:ascii="Times New Roman"/>
          <w:color w:val="000000"/>
          <w:spacing w:val="64"/>
          <w:sz w:val="28"/>
        </w:rPr>
        <w:t xml:space="preserve"> </w:t>
      </w:r>
      <w:r>
        <w:rPr>
          <w:rFonts w:ascii="SimSun" w:hAnsi="SimSun" w:cs="SimSun"/>
          <w:color w:val="000000"/>
          <w:spacing w:val="0"/>
          <w:sz w:val="28"/>
        </w:rPr>
        <w:t>—</w:t>
      </w:r>
      <w:r>
        <w:rPr>
          <w:rFonts w:ascii="Times New Roman"/>
          <w:color w:val="000000"/>
          <w:spacing w:val="0"/>
          <w:sz w:val="28"/>
        </w:rPr>
      </w:r>
    </w:p>
    <w:sectPr>
      <w:pgSz w:w="11900" w:h="16820"/>
      <w:pgMar w:top="2085" w:right="100" w:bottom="0" w:left="1615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  <w:font w:name="JFTCFE+FZXBSK--GBK1-0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7C4E882-0000-0000-0000-000000000000}"/>
  </w:font>
  <w:font w:name="CLJQAO+FZHTK--GBK1-0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1B912A0-0000-0000-0000-000000000000}"/>
  </w:font>
  <w:font w:name="MFJKNA+FZFSK--GBK1-0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83B1F98B-0000-0000-0000-000000000000}"/>
  </w:font>
  <w:font w:name="IKCBJC+TimesNewRomanPSMT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D754703C-0000-0000-0000-000000000000}"/>
  </w:font>
  <w:font w:name="ULMSTO+FZKTK--GBK1-0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8F731F6E-0000-0000-0000-000000000000}"/>
  </w:font>
  <w:font w:name="SimSun">
    <w:charset w:val="01"/>
    <w:family w:val="auto"/>
    <w:notTrueType w:val="on"/>
    <w:pitch w:val="default"/>
    <w:sig w:usb0="01010101" w:usb1="01010101" w:usb2="01010101" w:usb3="01010101" w:csb0="01010101" w:csb1="01010101"/>
  </w:font>
  <w:font w:name="VUAKHB+TimesNewRomanPS-ItalicMT"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FD3FFA69-0000-0000-0000-000000000000}"/>
  </w:font>
  <w:font w:name="FangSong"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14</Pages>
  <Words>467</Words>
  <Characters>5920</Characters>
  <Application>Aspose</Application>
  <DocSecurity>0</DocSecurity>
  <Lines>0</Lines>
  <Paragraphs>292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mqq</dc:creator>
  <lastModifiedBy>mqq</lastModifiedBy>
  <revision>1</revision>
  <dcterms:created xmlns:xsi="http://www.w3.org/2001/XMLSchema-instance" xmlns:dcterms="http://purl.org/dc/terms/" xsi:type="dcterms:W3CDTF">2022-05-25T23:15:26+08:00</dcterms:created>
  <dcterms:modified xmlns:xsi="http://www.w3.org/2001/XMLSchema-instance" xmlns:dcterms="http://purl.org/dc/terms/" xsi:type="dcterms:W3CDTF">2022-05-25T23:15:26+08:00</dcterms:modified>
</coreProperties>
</file>