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5972F4">
        <w:rPr>
          <w:rFonts w:ascii="宋体" w:hAnsi="宋体" w:hint="eastAsia"/>
          <w:b/>
          <w:sz w:val="32"/>
          <w:szCs w:val="32"/>
        </w:rPr>
        <w:t>5</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BF6B3C">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根据《高等学校毕业生学费和国家助学贷款代偿暂行办法》（财教[2009]15</w:t>
      </w:r>
      <w:r w:rsidR="005972F4">
        <w:rPr>
          <w:rFonts w:ascii="宋体" w:hAnsi="宋体" w:hint="eastAsia"/>
          <w:sz w:val="24"/>
        </w:rPr>
        <w:t>号）</w:t>
      </w:r>
      <w:r w:rsidR="005972F4" w:rsidRPr="005972F4">
        <w:rPr>
          <w:rFonts w:ascii="宋体" w:hAnsi="宋体" w:hint="eastAsia"/>
          <w:sz w:val="24"/>
        </w:rPr>
        <w:t>、《关于调整完善国家助学贷款相关政策措施的通知》（财教[2014]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1、学生本人填写的《学费和国家助学贷款代偿申请表》（</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0057211D" w:rsidRPr="0057211D">
        <w:rPr>
          <w:rFonts w:ascii="宋体" w:hAnsi="宋体" w:hint="eastAsia"/>
          <w:b/>
          <w:color w:val="FF0000"/>
          <w:sz w:val="24"/>
        </w:rPr>
        <w:t>纸质版填写时请一定按照填写说明来填写</w:t>
      </w:r>
      <w:r w:rsidR="0057211D">
        <w:rPr>
          <w:rFonts w:ascii="宋体" w:hAnsi="宋体" w:hint="eastAsia"/>
          <w:sz w:val="24"/>
        </w:rPr>
        <w:t>，</w:t>
      </w:r>
      <w:r w:rsidR="00D13487">
        <w:rPr>
          <w:rFonts w:ascii="宋体" w:hAnsi="宋体" w:hint="eastAsia"/>
          <w:sz w:val="24"/>
        </w:rPr>
        <w:t>纸质版需要</w:t>
      </w:r>
      <w:r w:rsidR="00D13487" w:rsidRPr="0057211D">
        <w:rPr>
          <w:rFonts w:ascii="宋体" w:hAnsi="宋体" w:hint="eastAsia"/>
          <w:b/>
          <w:color w:val="FF0000"/>
          <w:sz w:val="24"/>
        </w:rPr>
        <w:t>加盖院系公章</w:t>
      </w:r>
      <w:r w:rsidR="005972F4" w:rsidRPr="0057211D">
        <w:rPr>
          <w:rFonts w:ascii="宋体" w:hAnsi="宋体" w:hint="eastAsia"/>
          <w:b/>
          <w:color w:val="FF0000"/>
          <w:sz w:val="24"/>
        </w:rPr>
        <w:t>和学校财务部门公章</w:t>
      </w:r>
      <w:r w:rsidRPr="006134C4">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3、学生本人签字确认的有关证明材料（</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Pr="006134C4">
        <w:rPr>
          <w:rFonts w:ascii="宋体" w:hAnsi="宋体" w:hint="eastAsia"/>
          <w:sz w:val="24"/>
        </w:rPr>
        <w:t>）</w:t>
      </w:r>
      <w:r w:rsidR="00857028">
        <w:rPr>
          <w:rFonts w:ascii="宋体" w:hAnsi="宋体" w:hint="eastAsia"/>
          <w:sz w:val="24"/>
        </w:rPr>
        <w:t>；</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104CD1">
        <w:rPr>
          <w:rFonts w:ascii="宋体" w:hAnsi="宋体" w:hint="eastAsia"/>
          <w:sz w:val="24"/>
        </w:rPr>
        <w:t>针</w:t>
      </w:r>
      <w:r w:rsidR="00104CD1" w:rsidRPr="00104CD1">
        <w:rPr>
          <w:rFonts w:ascii="宋体" w:hAnsi="宋体" w:hint="eastAsia"/>
          <w:sz w:val="2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w:t>
      </w:r>
      <w:r w:rsidR="00104CD1">
        <w:rPr>
          <w:rFonts w:ascii="宋体" w:hAnsi="宋体" w:hint="eastAsia"/>
          <w:sz w:val="24"/>
        </w:rPr>
        <w:t>,</w:t>
      </w:r>
      <w:r w:rsidR="00482E58">
        <w:rPr>
          <w:rFonts w:ascii="宋体" w:hAnsi="宋体" w:hint="eastAsia"/>
          <w:sz w:val="24"/>
        </w:rPr>
        <w:t>包括</w:t>
      </w:r>
      <w:r w:rsidR="00104CD1" w:rsidRPr="00104CD1">
        <w:rPr>
          <w:rFonts w:ascii="宋体" w:hAnsi="宋体" w:hint="eastAsia"/>
          <w:sz w:val="24"/>
        </w:rPr>
        <w:t xml:space="preserve"> </w:t>
      </w:r>
      <w:r w:rsidR="00104CD1">
        <w:rPr>
          <w:rFonts w:ascii="宋体" w:hAnsi="宋体" w:hint="eastAsia"/>
          <w:sz w:val="24"/>
        </w:rPr>
        <w:t>《</w:t>
      </w:r>
      <w:r w:rsidR="00104CD1" w:rsidRPr="003D55DC">
        <w:rPr>
          <w:rFonts w:ascii="宋体" w:hAnsi="宋体" w:hint="eastAsia"/>
          <w:sz w:val="24"/>
        </w:rPr>
        <w:t>东南大学获得代偿资格毕业生当前在职在岗证明</w:t>
      </w:r>
      <w:r w:rsidR="00104CD1">
        <w:rPr>
          <w:rFonts w:ascii="宋体" w:hAnsi="宋体" w:hint="eastAsia"/>
          <w:sz w:val="24"/>
        </w:rPr>
        <w:t>》或《</w:t>
      </w:r>
      <w:r w:rsidR="00104CD1" w:rsidRPr="003D55DC">
        <w:rPr>
          <w:rFonts w:ascii="宋体" w:hAnsi="宋体" w:hint="eastAsia"/>
          <w:sz w:val="24"/>
        </w:rPr>
        <w:t>东南大学获得代偿资格毕业生二次就业证明</w:t>
      </w:r>
      <w:r w:rsidR="00E26CED">
        <w:rPr>
          <w:rFonts w:ascii="宋体" w:hAnsi="宋体" w:hint="eastAsia"/>
          <w:sz w:val="24"/>
        </w:rPr>
        <w:t>》</w:t>
      </w:r>
      <w:r>
        <w:rPr>
          <w:rFonts w:ascii="宋体" w:hAnsi="宋体" w:hint="eastAsia"/>
          <w:sz w:val="24"/>
        </w:rPr>
        <w:t>（二次就业的才需要填写该表</w:t>
      </w:r>
      <w:r>
        <w:rPr>
          <w:rFonts w:ascii="宋体" w:hAnsi="宋体"/>
          <w:sz w:val="24"/>
        </w:rPr>
        <w:t>）</w:t>
      </w:r>
      <w:r w:rsidR="00E26CED">
        <w:rPr>
          <w:rFonts w:ascii="宋体" w:hAnsi="宋体" w:hint="eastAsia"/>
          <w:sz w:val="24"/>
        </w:rPr>
        <w:t>，该材料需由用人单位及其上级主管部门加盖公章并由学生本人签字确认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E77A63">
        <w:rPr>
          <w:rFonts w:ascii="宋体" w:hAnsi="宋体" w:hint="eastAsia"/>
          <w:sz w:val="24"/>
        </w:rPr>
        <w:t>）</w:t>
      </w:r>
      <w:r w:rsidR="00857028">
        <w:rPr>
          <w:rFonts w:ascii="宋体" w:hAnsi="宋体" w:hint="eastAsia"/>
          <w:sz w:val="24"/>
        </w:rPr>
        <w:t>；</w:t>
      </w:r>
    </w:p>
    <w:p w:rsidR="005972F4" w:rsidRPr="005972F4" w:rsidRDefault="005972F4" w:rsidP="005972F4">
      <w:pPr>
        <w:adjustRightInd w:val="0"/>
        <w:snapToGrid w:val="0"/>
        <w:spacing w:line="336" w:lineRule="auto"/>
        <w:ind w:firstLineChars="200" w:firstLine="480"/>
        <w:rPr>
          <w:rFonts w:ascii="宋体" w:hAnsi="宋体"/>
          <w:sz w:val="24"/>
        </w:rPr>
      </w:pPr>
      <w:r>
        <w:rPr>
          <w:rFonts w:ascii="宋体" w:hAnsi="宋体" w:hint="eastAsia"/>
          <w:sz w:val="24"/>
        </w:rPr>
        <w:t>5、</w:t>
      </w:r>
      <w:r w:rsidRPr="005972F4">
        <w:rPr>
          <w:rFonts w:ascii="宋体" w:hAnsi="宋体" w:hint="eastAsia"/>
          <w:sz w:val="24"/>
        </w:rPr>
        <w:t>对暂不能落实工作岗位或实际工作地点尚不明确的应届毕业生，本次无需报送，待材料补充完整后年底第二批报送。</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5972F4">
        <w:rPr>
          <w:rFonts w:ascii="宋体" w:hAnsi="宋体" w:hint="eastAsia"/>
          <w:b/>
          <w:sz w:val="24"/>
        </w:rPr>
        <w:t>5</w:t>
      </w:r>
      <w:r w:rsidR="00966274" w:rsidRPr="007A7F23">
        <w:rPr>
          <w:rFonts w:ascii="宋体" w:hAnsi="宋体" w:hint="eastAsia"/>
          <w:b/>
          <w:sz w:val="24"/>
        </w:rPr>
        <w:t>年</w:t>
      </w:r>
      <w:r w:rsidR="00BF6B3C">
        <w:rPr>
          <w:rFonts w:ascii="宋体" w:hAnsi="宋体"/>
          <w:b/>
          <w:sz w:val="24"/>
        </w:rPr>
        <w:t>12</w:t>
      </w:r>
      <w:r w:rsidR="00966274" w:rsidRPr="007A7F23">
        <w:rPr>
          <w:rFonts w:ascii="宋体" w:hAnsi="宋体" w:hint="eastAsia"/>
          <w:b/>
          <w:sz w:val="24"/>
        </w:rPr>
        <w:t>月</w:t>
      </w:r>
      <w:r w:rsidR="00BF6B3C">
        <w:rPr>
          <w:rFonts w:ascii="宋体" w:hAnsi="宋体"/>
          <w:b/>
          <w:sz w:val="24"/>
        </w:rPr>
        <w:t>1</w:t>
      </w:r>
      <w:r w:rsidR="005972F4">
        <w:rPr>
          <w:rFonts w:ascii="宋体" w:hAnsi="宋体" w:hint="eastAsia"/>
          <w:b/>
          <w:sz w:val="24"/>
        </w:rPr>
        <w:t>0</w:t>
      </w:r>
      <w:r w:rsidR="00966274" w:rsidRPr="007A7F23">
        <w:rPr>
          <w:rFonts w:ascii="宋体" w:hAnsi="宋体" w:hint="eastAsia"/>
          <w:b/>
          <w:sz w:val="24"/>
        </w:rPr>
        <w:t>日</w:t>
      </w:r>
      <w:r w:rsidR="009D1CD6">
        <w:rPr>
          <w:rFonts w:ascii="宋体" w:hAnsi="宋体" w:hint="eastAsia"/>
          <w:sz w:val="24"/>
        </w:rPr>
        <w:t>，</w:t>
      </w:r>
      <w:r w:rsidR="00E77A63" w:rsidRPr="00BC026D">
        <w:rPr>
          <w:rFonts w:ascii="宋体" w:hAnsi="宋体" w:hint="eastAsia"/>
          <w:sz w:val="24"/>
          <w:highlight w:val="yellow"/>
        </w:rPr>
        <w:t>纸质</w:t>
      </w:r>
      <w:r w:rsidR="009D1CD6" w:rsidRPr="00BC026D">
        <w:rPr>
          <w:rFonts w:ascii="宋体" w:hAnsi="宋体" w:hint="eastAsia"/>
          <w:sz w:val="24"/>
          <w:highlight w:val="yellow"/>
        </w:rPr>
        <w:t>材料以院（系）为单位</w:t>
      </w:r>
      <w:r w:rsidR="009D1CD6">
        <w:rPr>
          <w:rFonts w:ascii="宋体" w:hAnsi="宋体" w:hint="eastAsia"/>
          <w:sz w:val="24"/>
        </w:rPr>
        <w:t>报送到九龙湖校区大学生活动中心五楼524室（电话：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lastRenderedPageBreak/>
        <w:t>第一类是中西部地区和艰苦边远地区县以下机关、企事业单位，主要指乡（镇）政府机关、农村中小学、国有农（牧、林）场、农业技术推广站、畜牧兽医站、乡镇卫生院、计划生育服务站、乡镇文化站、乡镇企业等。县城中学、县城医院以及县政府派出街道(社区)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后期通知将通过QQ群发送，若</w:t>
      </w:r>
      <w:r w:rsidR="00CA6E2C">
        <w:rPr>
          <w:rFonts w:ascii="宋体" w:hAnsi="宋体" w:hint="eastAsia"/>
          <w:sz w:val="24"/>
        </w:rPr>
        <w:t>联系方式有变更，及时报学校资助管理中心，联系电话：025-52090283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2015</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：东南大学获得代偿资格毕业生当前在职在岗证明</w:t>
      </w:r>
    </w:p>
    <w:p w:rsidR="000D3D8E" w:rsidRPr="00E255D0" w:rsidRDefault="000D3D8E"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附件4：东南大学获得代偿资格毕业生二次就业证明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0D3D8E" w:rsidRPr="00E255D0">
        <w:rPr>
          <w:rFonts w:ascii="宋体" w:hAnsi="宋体" w:hint="eastAsia"/>
          <w:sz w:val="24"/>
        </w:rPr>
        <w:t>5</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40282C">
        <w:rPr>
          <w:rFonts w:ascii="宋体" w:hAnsi="宋体" w:hint="eastAsia"/>
          <w:sz w:val="24"/>
        </w:rPr>
        <w:t>五</w:t>
      </w:r>
      <w:r>
        <w:rPr>
          <w:rFonts w:ascii="宋体" w:hAnsi="宋体" w:hint="eastAsia"/>
          <w:sz w:val="24"/>
        </w:rPr>
        <w:t>年</w:t>
      </w:r>
      <w:r w:rsidR="00BF6B3C">
        <w:rPr>
          <w:rFonts w:ascii="宋体" w:hAnsi="宋体" w:hint="eastAsia"/>
          <w:sz w:val="24"/>
        </w:rPr>
        <w:t>十一</w:t>
      </w:r>
      <w:r>
        <w:rPr>
          <w:rFonts w:ascii="宋体" w:hAnsi="宋体" w:hint="eastAsia"/>
          <w:sz w:val="24"/>
        </w:rPr>
        <w:t>月</w:t>
      </w:r>
      <w:r w:rsidR="00BF6B3C">
        <w:rPr>
          <w:rFonts w:ascii="宋体" w:hAnsi="宋体" w:hint="eastAsia"/>
          <w:sz w:val="24"/>
        </w:rPr>
        <w:t>三</w:t>
      </w:r>
      <w:bookmarkStart w:id="0" w:name="_GoBack"/>
      <w:bookmarkEnd w:id="0"/>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292" w:rsidRDefault="00AA3292" w:rsidP="00483548">
      <w:r>
        <w:separator/>
      </w:r>
    </w:p>
  </w:endnote>
  <w:endnote w:type="continuationSeparator" w:id="0">
    <w:p w:rsidR="00AA3292" w:rsidRDefault="00AA3292" w:rsidP="0048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292" w:rsidRDefault="00AA3292" w:rsidP="00483548">
      <w:r>
        <w:separator/>
      </w:r>
    </w:p>
  </w:footnote>
  <w:footnote w:type="continuationSeparator" w:id="0">
    <w:p w:rsidR="00AA3292" w:rsidRDefault="00AA3292" w:rsidP="004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7E6"/>
    <w:rsid w:val="0000216B"/>
    <w:rsid w:val="00007426"/>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A5F51"/>
    <w:rsid w:val="001C09F5"/>
    <w:rsid w:val="001D6360"/>
    <w:rsid w:val="001F2207"/>
    <w:rsid w:val="0027214E"/>
    <w:rsid w:val="002838E5"/>
    <w:rsid w:val="00297DCF"/>
    <w:rsid w:val="002C3EFE"/>
    <w:rsid w:val="002C6417"/>
    <w:rsid w:val="002E46CC"/>
    <w:rsid w:val="00301070"/>
    <w:rsid w:val="00360907"/>
    <w:rsid w:val="00382336"/>
    <w:rsid w:val="00383B8A"/>
    <w:rsid w:val="003B5702"/>
    <w:rsid w:val="003D55DC"/>
    <w:rsid w:val="0040282C"/>
    <w:rsid w:val="00437180"/>
    <w:rsid w:val="00482E58"/>
    <w:rsid w:val="00483548"/>
    <w:rsid w:val="004B4974"/>
    <w:rsid w:val="004C5F18"/>
    <w:rsid w:val="004E6947"/>
    <w:rsid w:val="004F5CC5"/>
    <w:rsid w:val="00504A77"/>
    <w:rsid w:val="005363D4"/>
    <w:rsid w:val="00554E62"/>
    <w:rsid w:val="0057211D"/>
    <w:rsid w:val="00574066"/>
    <w:rsid w:val="005952F4"/>
    <w:rsid w:val="005972F4"/>
    <w:rsid w:val="005A2BC5"/>
    <w:rsid w:val="005C6F79"/>
    <w:rsid w:val="005F746B"/>
    <w:rsid w:val="006134C4"/>
    <w:rsid w:val="00637AB0"/>
    <w:rsid w:val="006B6297"/>
    <w:rsid w:val="00705EE2"/>
    <w:rsid w:val="00712E06"/>
    <w:rsid w:val="007955A6"/>
    <w:rsid w:val="007A7F23"/>
    <w:rsid w:val="007C2401"/>
    <w:rsid w:val="00804F00"/>
    <w:rsid w:val="00816580"/>
    <w:rsid w:val="00820578"/>
    <w:rsid w:val="0085538B"/>
    <w:rsid w:val="00857028"/>
    <w:rsid w:val="0090458A"/>
    <w:rsid w:val="00940793"/>
    <w:rsid w:val="00966274"/>
    <w:rsid w:val="00977437"/>
    <w:rsid w:val="009D1CD6"/>
    <w:rsid w:val="009E0415"/>
    <w:rsid w:val="00A8699E"/>
    <w:rsid w:val="00AA3292"/>
    <w:rsid w:val="00AA3B36"/>
    <w:rsid w:val="00AE1366"/>
    <w:rsid w:val="00AE386D"/>
    <w:rsid w:val="00B51221"/>
    <w:rsid w:val="00B5729E"/>
    <w:rsid w:val="00BB72A5"/>
    <w:rsid w:val="00BC010A"/>
    <w:rsid w:val="00BC026D"/>
    <w:rsid w:val="00BC3AFE"/>
    <w:rsid w:val="00BC66A1"/>
    <w:rsid w:val="00BF6B3C"/>
    <w:rsid w:val="00C0106E"/>
    <w:rsid w:val="00C11951"/>
    <w:rsid w:val="00C33D51"/>
    <w:rsid w:val="00CA6E2C"/>
    <w:rsid w:val="00D13487"/>
    <w:rsid w:val="00D2709A"/>
    <w:rsid w:val="00D306F2"/>
    <w:rsid w:val="00D32A44"/>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F7FA0"/>
    <w:rsid w:val="00F16A45"/>
    <w:rsid w:val="00F51971"/>
    <w:rsid w:val="00F6360D"/>
    <w:rsid w:val="00F967E6"/>
    <w:rsid w:val="00FB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7FC6A-1C03-4F94-979C-1B9995AA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2015-06-12T07:42:00Z</dcterms:created>
  <dcterms:modified xsi:type="dcterms:W3CDTF">2015-11-09T05:51:00Z</dcterms:modified>
</cp:coreProperties>
</file>