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F5C" w:rsidRDefault="00000000">
      <w:pPr>
        <w:widowControl/>
        <w:spacing w:line="240" w:lineRule="auto"/>
        <w:ind w:firstLineChars="0" w:firstLine="0"/>
        <w:jc w:val="left"/>
        <w:rPr>
          <w:b/>
          <w:bCs/>
        </w:rPr>
      </w:pPr>
      <w:bookmarkStart w:id="0" w:name="_Hlk102912746"/>
      <w:r>
        <w:rPr>
          <w:rFonts w:hint="eastAsia"/>
          <w:b/>
          <w:bCs/>
        </w:rPr>
        <w:t>附件：</w:t>
      </w:r>
    </w:p>
    <w:p w:rsidR="00111F5C" w:rsidRDefault="00000000">
      <w:pPr>
        <w:widowControl/>
        <w:spacing w:line="240" w:lineRule="auto"/>
        <w:ind w:firstLineChars="0" w:firstLine="0"/>
        <w:jc w:val="center"/>
        <w:rPr>
          <w:b/>
          <w:bCs/>
        </w:rPr>
      </w:pPr>
      <w:r>
        <w:rPr>
          <w:b/>
          <w:bCs/>
        </w:rPr>
        <w:t>东南大学无锡校区</w:t>
      </w:r>
      <w:proofErr w:type="gramStart"/>
      <w:r>
        <w:rPr>
          <w:b/>
          <w:bCs/>
        </w:rPr>
        <w:t>团干部思政技能</w:t>
      </w:r>
      <w:proofErr w:type="gramEnd"/>
      <w:r>
        <w:rPr>
          <w:b/>
          <w:bCs/>
        </w:rPr>
        <w:t>大比武</w:t>
      </w:r>
      <w:r>
        <w:rPr>
          <w:rFonts w:hint="eastAsia"/>
          <w:b/>
          <w:bCs/>
        </w:rPr>
        <w:t>评审标准</w:t>
      </w:r>
    </w:p>
    <w:p w:rsidR="00111F5C" w:rsidRDefault="00000000">
      <w:pPr>
        <w:widowControl/>
        <w:spacing w:line="240" w:lineRule="auto"/>
        <w:ind w:firstLineChars="0" w:firstLine="0"/>
        <w:jc w:val="left"/>
      </w:pPr>
      <w:r>
        <w:rPr>
          <w:rFonts w:hint="eastAsia"/>
        </w:rPr>
        <w:t>一、主题团课评审标准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11F5C">
        <w:tc>
          <w:tcPr>
            <w:tcW w:w="1696" w:type="dxa"/>
          </w:tcPr>
          <w:bookmarkEnd w:id="0"/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评审内容</w:t>
            </w:r>
          </w:p>
        </w:tc>
        <w:tc>
          <w:tcPr>
            <w:tcW w:w="6600" w:type="dxa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评审要求（共</w:t>
            </w:r>
            <w:r>
              <w:rPr>
                <w:rFonts w:eastAsia="仿宋" w:cs="Times New Roman"/>
                <w:szCs w:val="28"/>
              </w:rPr>
              <w:t>100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</w:tr>
      <w:tr w:rsidR="00111F5C">
        <w:trPr>
          <w:trHeight w:val="1225"/>
        </w:trPr>
        <w:tc>
          <w:tcPr>
            <w:tcW w:w="1696" w:type="dxa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宣讲主题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（2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</w:tcPr>
          <w:p w:rsidR="00111F5C" w:rsidRDefault="00000000">
            <w:pPr>
              <w:spacing w:line="240" w:lineRule="auto"/>
              <w:ind w:firstLineChars="0" w:firstLine="0"/>
              <w:jc w:val="left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主题鲜明，导向正确。能正确运用马克思主义立场、观点和方法，帮助团员解决思想问题，特别是理想、信念、宗旨、作风等方面的问题，形成向上向善的积极导向。</w:t>
            </w:r>
          </w:p>
        </w:tc>
      </w:tr>
      <w:tr w:rsidR="00111F5C">
        <w:trPr>
          <w:trHeight w:val="1810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宣讲内容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（4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</w:tcPr>
          <w:p w:rsidR="00111F5C" w:rsidRDefault="00000000">
            <w:pPr>
              <w:spacing w:line="240" w:lineRule="auto"/>
              <w:ind w:firstLineChars="0" w:firstLine="0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内容丰富，逻辑清晰。能紧扣团课、</w:t>
            </w:r>
            <w:proofErr w:type="gramStart"/>
            <w:r>
              <w:rPr>
                <w:rFonts w:eastAsia="仿宋" w:cs="Times New Roman" w:hint="eastAsia"/>
                <w:szCs w:val="28"/>
              </w:rPr>
              <w:t>思政课主题</w:t>
            </w:r>
            <w:proofErr w:type="gramEnd"/>
            <w:r>
              <w:rPr>
                <w:rFonts w:eastAsia="仿宋" w:cs="Times New Roman" w:hint="eastAsia"/>
                <w:szCs w:val="28"/>
              </w:rPr>
              <w:t>设计内容，结构严谨，主线明晰，观点准确，内容丰富，衔接顺畅，素材选用得当，有一定的信息量，语言贴合青年特点，能够将政治思想转化为青年语言，符合团课、</w:t>
            </w:r>
            <w:proofErr w:type="gramStart"/>
            <w:r>
              <w:rPr>
                <w:rFonts w:eastAsia="仿宋" w:cs="Times New Roman" w:hint="eastAsia"/>
                <w:szCs w:val="28"/>
              </w:rPr>
              <w:t>思政课</w:t>
            </w:r>
            <w:proofErr w:type="gramEnd"/>
            <w:r>
              <w:rPr>
                <w:rFonts w:eastAsia="仿宋" w:cs="Times New Roman" w:hint="eastAsia"/>
                <w:szCs w:val="28"/>
              </w:rPr>
              <w:t>内容要求。</w:t>
            </w:r>
          </w:p>
        </w:tc>
      </w:tr>
      <w:tr w:rsidR="00111F5C">
        <w:trPr>
          <w:trHeight w:val="1417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宣讲形式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</w:t>
            </w:r>
            <w:r>
              <w:rPr>
                <w:rFonts w:eastAsia="仿宋" w:cs="Times New Roman"/>
                <w:szCs w:val="28"/>
              </w:rPr>
              <w:t>20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</w:tcPr>
          <w:p w:rsidR="00111F5C" w:rsidRDefault="00000000">
            <w:pPr>
              <w:spacing w:line="240" w:lineRule="auto"/>
              <w:ind w:firstLineChars="0" w:firstLine="0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形象生动，引人入胜。能紧扣团课、</w:t>
            </w:r>
            <w:proofErr w:type="gramStart"/>
            <w:r>
              <w:rPr>
                <w:rFonts w:eastAsia="仿宋" w:cs="Times New Roman" w:hint="eastAsia"/>
                <w:szCs w:val="28"/>
              </w:rPr>
              <w:t>思政课主题</w:t>
            </w:r>
            <w:proofErr w:type="gramEnd"/>
            <w:r>
              <w:rPr>
                <w:rFonts w:eastAsia="仿宋" w:cs="Times New Roman" w:hint="eastAsia"/>
                <w:szCs w:val="28"/>
              </w:rPr>
              <w:t>和内容设计讲授形式，有较好的讲授技巧，善于将“大道理”转化为团员青年易于接受的“小道理”，口头表达清晰准确流利，仪态端庄大方，表情和肢体语言得体，感情饱满有感染力。</w:t>
            </w:r>
          </w:p>
        </w:tc>
      </w:tr>
      <w:tr w:rsidR="00111F5C">
        <w:trPr>
          <w:trHeight w:val="1127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宣讲效果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（2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</w:tcPr>
          <w:p w:rsidR="00111F5C" w:rsidRDefault="00000000">
            <w:pPr>
              <w:spacing w:line="240" w:lineRule="auto"/>
              <w:ind w:firstLineChars="0" w:firstLine="0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目标明确、达到预期。能结合团员青年身心特点，培养团员意识，增强对党、团组织的理解和认同，共鸣感强，宣讲效果好。</w:t>
            </w:r>
          </w:p>
        </w:tc>
      </w:tr>
    </w:tbl>
    <w:p w:rsidR="00111F5C" w:rsidRDefault="00111F5C">
      <w:pPr>
        <w:widowControl/>
        <w:spacing w:line="240" w:lineRule="auto"/>
        <w:ind w:firstLineChars="0" w:firstLine="0"/>
        <w:jc w:val="left"/>
      </w:pPr>
    </w:p>
    <w:p w:rsidR="00111F5C" w:rsidRDefault="00000000">
      <w:pPr>
        <w:widowControl/>
        <w:spacing w:line="240" w:lineRule="auto"/>
        <w:ind w:firstLineChars="0" w:firstLine="0"/>
        <w:jc w:val="left"/>
      </w:pPr>
      <w:bookmarkStart w:id="1" w:name="_Hlk102912756"/>
      <w:r>
        <w:rPr>
          <w:rFonts w:hint="eastAsia"/>
        </w:rPr>
        <w:lastRenderedPageBreak/>
        <w:t>二、现场互动评审标准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11F5C">
        <w:tc>
          <w:tcPr>
            <w:tcW w:w="1696" w:type="dxa"/>
            <w:vAlign w:val="center"/>
          </w:tcPr>
          <w:bookmarkEnd w:id="1"/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评审内容</w:t>
            </w:r>
          </w:p>
        </w:tc>
        <w:tc>
          <w:tcPr>
            <w:tcW w:w="6600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评审要求（1</w:t>
            </w:r>
            <w:r>
              <w:rPr>
                <w:rFonts w:eastAsia="仿宋" w:cs="Times New Roman"/>
                <w:szCs w:val="28"/>
              </w:rPr>
              <w:t>00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</w:tr>
      <w:tr w:rsidR="00111F5C">
        <w:trPr>
          <w:trHeight w:val="1713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政治方向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（3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left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体现政治高度，准确阐释题目的概念与内涵，把“是什么”“为什么”“怎么做”讲清楚、讲明白，能展现高校基层团支部引领青年学生思想，凝聚青春力量的组织价值。</w:t>
            </w:r>
          </w:p>
        </w:tc>
      </w:tr>
      <w:tr w:rsidR="00111F5C">
        <w:trPr>
          <w:trHeight w:val="1127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语言表达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（2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left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语言规范，口齿清晰，普通话标准，表达流畅，情感到位，富有感染力。</w:t>
            </w:r>
          </w:p>
        </w:tc>
      </w:tr>
      <w:tr w:rsidR="00111F5C">
        <w:trPr>
          <w:trHeight w:val="1544"/>
        </w:trPr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阐述内容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（3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left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回答问题要简要概括，有思想且实际，能结合自身实际工作，有要点有亮点。思维敏捷，应变能力强，对临时突发问题能冷静处理，不慌不乱。</w:t>
            </w:r>
          </w:p>
        </w:tc>
      </w:tr>
      <w:tr w:rsidR="00111F5C">
        <w:tc>
          <w:tcPr>
            <w:tcW w:w="1696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综合印象</w:t>
            </w:r>
          </w:p>
          <w:p w:rsidR="00111F5C" w:rsidRDefault="00000000">
            <w:pPr>
              <w:spacing w:line="240" w:lineRule="auto"/>
              <w:ind w:firstLineChars="0" w:firstLine="0"/>
              <w:jc w:val="center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（2</w:t>
            </w:r>
            <w:r>
              <w:rPr>
                <w:rFonts w:eastAsia="仿宋" w:cs="Times New Roman"/>
                <w:szCs w:val="28"/>
              </w:rPr>
              <w:t>0</w:t>
            </w:r>
            <w:r>
              <w:rPr>
                <w:rFonts w:eastAsia="仿宋" w:cs="Times New Roman" w:hint="eastAsia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:rsidR="00111F5C" w:rsidRDefault="00000000">
            <w:pPr>
              <w:spacing w:line="240" w:lineRule="auto"/>
              <w:ind w:firstLineChars="0" w:firstLine="0"/>
              <w:jc w:val="left"/>
              <w:rPr>
                <w:rFonts w:eastAsia="仿宋" w:cs="Times New Roman"/>
                <w:szCs w:val="28"/>
              </w:rPr>
            </w:pPr>
            <w:r>
              <w:rPr>
                <w:rFonts w:eastAsia="仿宋" w:cs="Times New Roman" w:hint="eastAsia"/>
                <w:szCs w:val="28"/>
              </w:rPr>
              <w:t>宏观把握参赛者的综合素质，从整体上进行评价，给出一个合理的分数。</w:t>
            </w:r>
          </w:p>
        </w:tc>
      </w:tr>
    </w:tbl>
    <w:p w:rsidR="00111F5C" w:rsidRDefault="00111F5C">
      <w:pPr>
        <w:widowControl/>
        <w:spacing w:line="240" w:lineRule="auto"/>
        <w:ind w:firstLineChars="0" w:firstLine="0"/>
        <w:jc w:val="left"/>
      </w:pPr>
    </w:p>
    <w:sectPr w:rsidR="00111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ADC" w:rsidRDefault="001F1ADC">
      <w:pPr>
        <w:spacing w:line="240" w:lineRule="auto"/>
        <w:ind w:firstLine="560"/>
      </w:pPr>
      <w:r>
        <w:separator/>
      </w:r>
    </w:p>
  </w:endnote>
  <w:endnote w:type="continuationSeparator" w:id="0">
    <w:p w:rsidR="001F1ADC" w:rsidRDefault="001F1AD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111F5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111F5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111F5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ADC" w:rsidRDefault="001F1ADC">
      <w:pPr>
        <w:ind w:firstLine="560"/>
      </w:pPr>
      <w:r>
        <w:separator/>
      </w:r>
    </w:p>
  </w:footnote>
  <w:footnote w:type="continuationSeparator" w:id="0">
    <w:p w:rsidR="001F1ADC" w:rsidRDefault="001F1AD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111F5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000000">
    <w:pPr>
      <w:pStyle w:val="a5"/>
      <w:pBdr>
        <w:bottom w:val="none" w:sz="0" w:space="0" w:color="auto"/>
      </w:pBdr>
      <w:ind w:firstLine="360"/>
    </w:pPr>
    <w:r>
      <w:t xml:space="preserve"> </w: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F5C" w:rsidRDefault="00111F5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6612"/>
    <w:multiLevelType w:val="multilevel"/>
    <w:tmpl w:val="549A6612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F115BA"/>
    <w:multiLevelType w:val="multilevel"/>
    <w:tmpl w:val="5AF115BA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715396874">
    <w:abstractNumId w:val="0"/>
  </w:num>
  <w:num w:numId="2" w16cid:durableId="116917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mMTVkYTBmOTFhZTkwNmNjNDJkMzYwNGQ4YjlhOGIifQ=="/>
  </w:docVars>
  <w:rsids>
    <w:rsidRoot w:val="002055E4"/>
    <w:rsid w:val="0002076A"/>
    <w:rsid w:val="000264A1"/>
    <w:rsid w:val="00027CF0"/>
    <w:rsid w:val="000445DF"/>
    <w:rsid w:val="000D5B0F"/>
    <w:rsid w:val="00111F5C"/>
    <w:rsid w:val="001755B3"/>
    <w:rsid w:val="001A4B83"/>
    <w:rsid w:val="001F1ADC"/>
    <w:rsid w:val="002055E4"/>
    <w:rsid w:val="00207D98"/>
    <w:rsid w:val="00253026"/>
    <w:rsid w:val="002C3D82"/>
    <w:rsid w:val="002E5AD5"/>
    <w:rsid w:val="002F6932"/>
    <w:rsid w:val="00347B4A"/>
    <w:rsid w:val="00352CAA"/>
    <w:rsid w:val="00353874"/>
    <w:rsid w:val="0043261B"/>
    <w:rsid w:val="00446782"/>
    <w:rsid w:val="004566A7"/>
    <w:rsid w:val="004A1155"/>
    <w:rsid w:val="004C6DAB"/>
    <w:rsid w:val="004E4737"/>
    <w:rsid w:val="004F4C57"/>
    <w:rsid w:val="00532A55"/>
    <w:rsid w:val="005C20D6"/>
    <w:rsid w:val="006135F2"/>
    <w:rsid w:val="0063335A"/>
    <w:rsid w:val="00654A6C"/>
    <w:rsid w:val="00661FFC"/>
    <w:rsid w:val="00684457"/>
    <w:rsid w:val="006B2232"/>
    <w:rsid w:val="006E2997"/>
    <w:rsid w:val="0073229E"/>
    <w:rsid w:val="00782775"/>
    <w:rsid w:val="007867C9"/>
    <w:rsid w:val="007B6243"/>
    <w:rsid w:val="007C0DC4"/>
    <w:rsid w:val="007E6A1B"/>
    <w:rsid w:val="0084458E"/>
    <w:rsid w:val="00872D8A"/>
    <w:rsid w:val="008762F6"/>
    <w:rsid w:val="00896CBC"/>
    <w:rsid w:val="008A2569"/>
    <w:rsid w:val="008B5702"/>
    <w:rsid w:val="008D4337"/>
    <w:rsid w:val="008D6670"/>
    <w:rsid w:val="00914485"/>
    <w:rsid w:val="009221A9"/>
    <w:rsid w:val="00940BD5"/>
    <w:rsid w:val="00982750"/>
    <w:rsid w:val="009852E3"/>
    <w:rsid w:val="009B3069"/>
    <w:rsid w:val="00A23113"/>
    <w:rsid w:val="00A3111B"/>
    <w:rsid w:val="00A51387"/>
    <w:rsid w:val="00A625B1"/>
    <w:rsid w:val="00BA319E"/>
    <w:rsid w:val="00BC3468"/>
    <w:rsid w:val="00BC4D71"/>
    <w:rsid w:val="00C2563C"/>
    <w:rsid w:val="00C622BD"/>
    <w:rsid w:val="00C87DD9"/>
    <w:rsid w:val="00C91399"/>
    <w:rsid w:val="00D34B7A"/>
    <w:rsid w:val="00D51C9A"/>
    <w:rsid w:val="00D7635A"/>
    <w:rsid w:val="00E1323D"/>
    <w:rsid w:val="00E34A6B"/>
    <w:rsid w:val="00E73970"/>
    <w:rsid w:val="00EA6F31"/>
    <w:rsid w:val="00EB0511"/>
    <w:rsid w:val="00F02781"/>
    <w:rsid w:val="00F2043E"/>
    <w:rsid w:val="00F23C04"/>
    <w:rsid w:val="00F510D5"/>
    <w:rsid w:val="00F62496"/>
    <w:rsid w:val="00F84408"/>
    <w:rsid w:val="00F855C1"/>
    <w:rsid w:val="00F87091"/>
    <w:rsid w:val="00FD2E43"/>
    <w:rsid w:val="00FD5636"/>
    <w:rsid w:val="29DD3D9E"/>
    <w:rsid w:val="55306B74"/>
    <w:rsid w:val="795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D934"/>
  <w15:docId w15:val="{F12C0AED-4CF4-46DF-AE34-51E4697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8" w:lineRule="auto"/>
      <w:ind w:firstLineChars="200" w:firstLine="200"/>
      <w:jc w:val="both"/>
    </w:pPr>
    <w:rPr>
      <w:rFonts w:ascii="仿宋" w:hAnsi="仿宋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 w:line="300" w:lineRule="atLeast"/>
      <w:ind w:firstLineChars="0" w:firstLine="0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Lines="50" w:before="156" w:afterLines="50" w:after="156" w:line="276" w:lineRule="auto"/>
      <w:ind w:firstLineChars="0" w:firstLine="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 w:val="28"/>
      <w:szCs w:val="32"/>
    </w:rPr>
  </w:style>
  <w:style w:type="paragraph" w:styleId="aa">
    <w:name w:val="List Paragraph"/>
    <w:basedOn w:val="a"/>
    <w:uiPriority w:val="34"/>
    <w:qFormat/>
    <w:pPr>
      <w:ind w:firstLine="420"/>
    </w:p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仿宋" w:hAnsi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" w:hAnsi="仿宋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仿宋" w:hAnsi="仿宋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Yuhan</dc:creator>
  <cp:lastModifiedBy>陈 兴</cp:lastModifiedBy>
  <cp:revision>13</cp:revision>
  <dcterms:created xsi:type="dcterms:W3CDTF">2023-03-28T07:49:00Z</dcterms:created>
  <dcterms:modified xsi:type="dcterms:W3CDTF">2023-03-29T03:08:00Z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8A7196FA9D4C44E290FC8E3F396E52EB</vt:lpwstr>
  </property>
</Properties>
</file>