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 w:firstLineChars="196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201</w:t>
      </w:r>
      <w:r>
        <w:rPr>
          <w:rFonts w:hint="eastAsia" w:ascii="黑体" w:eastAsia="黑体"/>
          <w:b/>
          <w:sz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lang w:eastAsia="zh-CN"/>
        </w:rPr>
        <w:t>届东南大学无锡分校</w:t>
      </w:r>
      <w:r>
        <w:rPr>
          <w:rFonts w:hint="eastAsia" w:ascii="黑体" w:eastAsia="黑体"/>
          <w:b/>
          <w:sz w:val="32"/>
        </w:rPr>
        <w:t>本科生免试研究生</w:t>
      </w:r>
    </w:p>
    <w:p>
      <w:pPr>
        <w:spacing w:before="156" w:beforeLines="50" w:after="156" w:afterLines="50"/>
        <w:ind w:firstLine="630" w:firstLineChars="196"/>
        <w:jc w:val="center"/>
        <w:rPr>
          <w:rFonts w:hint="eastAsia" w:ascii="宋体" w:hAnsi="宋体" w:cs="仿宋_GB2312"/>
          <w:b/>
          <w:sz w:val="18"/>
          <w:szCs w:val="18"/>
        </w:rPr>
      </w:pPr>
      <w:r>
        <w:rPr>
          <w:rFonts w:hint="eastAsia" w:ascii="黑体" w:eastAsia="黑体"/>
          <w:b/>
          <w:sz w:val="32"/>
        </w:rPr>
        <w:t>首修平均学分绩点计算细则</w:t>
      </w:r>
    </w:p>
    <w:p>
      <w:pPr>
        <w:spacing w:before="156" w:beforeLines="50" w:after="156" w:afterLines="50"/>
        <w:ind w:firstLine="551" w:firstLineChars="196"/>
        <w:rPr>
          <w:rFonts w:hint="eastAsia" w:ascii="仿宋_GB2312" w:hAnsi="宋体" w:eastAsia="仿宋_GB2312" w:cs="仿宋_GB2312"/>
          <w:b/>
          <w:sz w:val="24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一、计算公式：</w:t>
      </w:r>
    </w:p>
    <w:p>
      <w:pPr>
        <w:spacing w:before="156" w:beforeLines="50" w:after="156" w:afterLines="50"/>
        <w:ind w:left="473" w:leftChars="225" w:firstLine="551" w:firstLineChars="196"/>
        <w:rPr>
          <w:rFonts w:hint="eastAsia"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首修平均学分绩点＝</w:t>
      </w:r>
    </w:p>
    <w:p>
      <w:pPr>
        <w:spacing w:before="156" w:beforeLines="50" w:after="156" w:afterLines="50"/>
        <w:rPr>
          <w:rFonts w:hint="eastAsia" w:ascii="宋体" w:hAnsi="宋体" w:cs="仿宋_GB2312"/>
          <w:b/>
          <w:sz w:val="18"/>
          <w:szCs w:val="18"/>
        </w:rPr>
      </w:pPr>
      <w:r>
        <w:rPr>
          <w:rFonts w:ascii="宋体" w:hAnsi="宋体" w:cs="仿宋_GB2312"/>
          <w:b/>
          <w:position w:val="-10"/>
          <w:sz w:val="18"/>
          <w:szCs w:val="18"/>
        </w:rPr>
        <w:object>
          <v:shape id="_x0000_i1025" o:spt="75" type="#_x0000_t75" style="height:17pt;width:9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宋体" w:hAnsi="宋体" w:cs="仿宋_GB2312"/>
          <w:b/>
          <w:position w:val="-14"/>
          <w:sz w:val="18"/>
          <w:szCs w:val="18"/>
        </w:rPr>
        <w:object>
          <v:shape id="_x0000_i1026" o:spt="75" type="#_x0000_t75" style="height:28.3pt;width:512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spacing w:before="156" w:beforeLines="50" w:after="156" w:afterLines="50"/>
        <w:ind w:firstLine="551" w:firstLineChars="196"/>
        <w:rPr>
          <w:rFonts w:hint="eastAsia"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纳入首修平均学分绩点计算的课程：</w:t>
      </w:r>
    </w:p>
    <w:p>
      <w:pPr>
        <w:numPr>
          <w:ilvl w:val="0"/>
          <w:numId w:val="2"/>
        </w:numPr>
        <w:spacing w:before="156" w:beforeLines="50" w:after="156" w:afterLines="50"/>
        <w:ind w:left="702" w:leftChars="0" w:firstLine="0" w:firstLineChars="0"/>
        <w:rPr>
          <w:rFonts w:hint="eastAsia" w:ascii="仿宋_GB2312" w:hAnsi="宋体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sz w:val="28"/>
          <w:szCs w:val="28"/>
          <w:lang w:val="en-US" w:eastAsia="zh-CN"/>
        </w:rPr>
        <w:t>信息工程专业（042）：</w:t>
      </w:r>
    </w:p>
    <w:tbl>
      <w:tblPr>
        <w:tblStyle w:val="3"/>
        <w:tblW w:w="7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75"/>
        <w:gridCol w:w="1050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auto"/>
                <w:sz w:val="18"/>
                <w:szCs w:val="18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中国近代史纲要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马克思主义基本原理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大学英语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体育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Ⅰ-</w:t>
            </w:r>
            <w:r>
              <w:rPr>
                <w:rFonts w:hAnsi="宋体"/>
                <w:color w:val="auto"/>
                <w:sz w:val="18"/>
                <w:szCs w:val="18"/>
              </w:rPr>
              <w:t>Ⅳ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体育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Ⅴ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物理实验Ⅰ-Ⅱ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计算机综合课程设计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计算机科学基础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 xml:space="preserve"> I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计算机科学基础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 xml:space="preserve"> II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几何与代数（B）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高等数学（A）Ⅰ</w:t>
            </w:r>
          </w:p>
        </w:tc>
        <w:tc>
          <w:tcPr>
            <w:tcW w:w="3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高等数学（A）Ⅱ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大学物理（B1）Ⅰ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大学物理（B1）Ⅱ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43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数学建模与数学实验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2选1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43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数学物理方法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概率统计与随机过程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宋体"/>
                <w:color w:val="auto"/>
                <w:sz w:val="18"/>
                <w:szCs w:val="18"/>
              </w:rPr>
              <w:instrText xml:space="preserve"> HYPERLINK "javascript:checkIsCanUpdate('msk2iik5-lfr3-8ib2-t4op-brh1k0lrjogk','2012','2','2012','06A','86001010')" \t "_self" </w:instrText>
            </w:r>
            <w:r>
              <w:rPr>
                <w:rFonts w:hAnsi="宋体"/>
                <w:color w:val="auto"/>
                <w:sz w:val="18"/>
                <w:szCs w:val="18"/>
              </w:rPr>
              <w:fldChar w:fldCharType="separate"/>
            </w:r>
            <w:r>
              <w:rPr>
                <w:rFonts w:hAnsi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军事理论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电子信息学科概论（新生研讨课）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电路基础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电子电路基础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电磁场与波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信息通信网络概论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(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双语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)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计算机结构与逻辑设计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微机系统与接口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ascii="??" w:hAnsi="??" w:cs="??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计算机组织与结构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(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双语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) I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spacing w:line="320" w:lineRule="atLeast"/>
              <w:jc w:val="center"/>
              <w:rPr>
                <w:rFonts w:hint="eastAsia" w:ascii="??" w:hAnsi="??" w:cs="??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计算机组织与结构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(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双语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) II</w:t>
            </w:r>
          </w:p>
        </w:tc>
        <w:tc>
          <w:tcPr>
            <w:tcW w:w="3037" w:type="dxa"/>
            <w:vAlign w:val="center"/>
          </w:tcPr>
          <w:p>
            <w:pPr>
              <w:spacing w:line="320" w:lineRule="atLeas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集成电路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CAD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数字集成电路设计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就业导论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spacing w:line="320" w:lineRule="atLeas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通信原理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(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双语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)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Ansi="宋体"/>
                <w:color w:val="auto"/>
                <w:sz w:val="18"/>
                <w:szCs w:val="18"/>
              </w:rPr>
              <w:t>选1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spacing w:line="320" w:lineRule="atLeas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数字信号处理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spacing w:line="320" w:lineRule="atLeas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通信电子线路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jc w:val="both"/>
              <w:rPr>
                <w:rFonts w:hint="eastAsia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Ansi="宋体"/>
                <w:color w:val="auto"/>
                <w:sz w:val="18"/>
                <w:szCs w:val="18"/>
              </w:rPr>
              <w:t>选1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spacing w:line="320" w:lineRule="atLeas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微波工程基础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信息安全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5选1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专用集成电路设计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统计信号处理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数字通信（双语）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8" w:type="dxa"/>
            <w:gridSpan w:val="2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微波器件原理与芯片设计方法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微机实验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模拟电子电路实验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电路实验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auto"/>
                <w:sz w:val="18"/>
                <w:szCs w:val="18"/>
              </w:rPr>
              <w:t>通信电子线路实验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数字逻辑电路实验A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电子工艺实践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A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社会实践</w:t>
            </w:r>
          </w:p>
        </w:tc>
        <w:tc>
          <w:tcPr>
            <w:tcW w:w="3037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军训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电工电子实践初步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机械制图（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MATLAB实践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8" w:type="dxa"/>
            <w:gridSpan w:val="3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数字系统课程设计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rPr>
          <w:rFonts w:hint="eastAsia" w:ascii="仿宋_GB2312" w:hAnsi="宋体" w:eastAsia="仿宋_GB2312" w:cs="仿宋_GB2312"/>
          <w:b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before="156" w:beforeLines="50" w:after="156" w:afterLines="50"/>
        <w:ind w:left="702" w:leftChars="0" w:firstLine="0" w:firstLineChars="0"/>
        <w:rPr>
          <w:rFonts w:hint="eastAsia" w:ascii="仿宋_GB2312" w:hAnsi="宋体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sz w:val="28"/>
          <w:szCs w:val="28"/>
          <w:lang w:val="en-US" w:eastAsia="zh-CN"/>
        </w:rPr>
        <w:t>电子科学与技术专业（062）：</w:t>
      </w:r>
    </w:p>
    <w:tbl>
      <w:tblPr>
        <w:tblStyle w:val="3"/>
        <w:tblW w:w="7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255"/>
        <w:gridCol w:w="99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bCs/>
                <w:color w:val="auto"/>
                <w:sz w:val="18"/>
                <w:szCs w:val="18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中国近代史纲要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马克思主义基本原理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大学英语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体育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Ⅰ-</w:t>
            </w:r>
            <w:r>
              <w:rPr>
                <w:rFonts w:hAnsi="宋体"/>
                <w:color w:val="auto"/>
                <w:sz w:val="18"/>
                <w:szCs w:val="18"/>
              </w:rPr>
              <w:t>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体育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物理实验Ⅰ-Ⅱ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计算机综合课程设计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程序设计与算法语言Ⅰ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(电类)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程序设计与算法语言Ⅱ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(电类)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几何与代数（B）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高等数学（A）Ⅰ</w:t>
            </w:r>
          </w:p>
        </w:tc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高等数学（A）Ⅱ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 xml:space="preserve">  大学物理（A）Ⅰ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大学物理（B1）Ⅰ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 xml:space="preserve">  大学物理（A）Ⅱ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大学物理（B1）Ⅱ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数学建模与数学实验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5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计算方法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概率统计与随机过程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数学物理方法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fldChar w:fldCharType="begin"/>
            </w:r>
            <w:r>
              <w:rPr>
                <w:rFonts w:hAnsi="宋体"/>
                <w:color w:val="auto"/>
                <w:sz w:val="18"/>
                <w:szCs w:val="18"/>
              </w:rPr>
              <w:instrText xml:space="preserve"> HYPERLINK "javascript:checkIsCanUpdate('msk2iik5-lfr3-8ib2-t4op-brh1k0lrjogk','2012','2','2012','06A','86001010')" \t "_self" </w:instrText>
            </w:r>
            <w:r>
              <w:rPr>
                <w:rFonts w:hAnsi="宋体"/>
                <w:color w:val="auto"/>
                <w:sz w:val="18"/>
                <w:szCs w:val="18"/>
              </w:rPr>
              <w:fldChar w:fldCharType="separate"/>
            </w:r>
            <w:r>
              <w:rPr>
                <w:rFonts w:hAnsi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军事理论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计算机结构与逻辑设计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数字逻辑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电路</w:t>
            </w:r>
            <w:r>
              <w:rPr>
                <w:rFonts w:hAnsi="宋体"/>
                <w:color w:val="auto"/>
                <w:sz w:val="18"/>
                <w:szCs w:val="18"/>
              </w:rPr>
              <w:t>实验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电路基础（双语）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电路实验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电子电路基础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模拟电子电路实验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微机系统与接口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微机实验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电子信息类专业学习概论（研讨）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电子科学与技术学科概论（研讨）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军训（含理论课）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机械制图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机械制造基础实践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电工电子实践初步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工艺</w:t>
            </w:r>
            <w:r>
              <w:rPr>
                <w:rFonts w:hAnsi="宋体"/>
                <w:color w:val="auto"/>
                <w:sz w:val="18"/>
                <w:szCs w:val="18"/>
              </w:rPr>
              <w:t>实践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集成电路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CAD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数字集成电路设计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固体物理基础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限选1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学分</w:t>
            </w:r>
          </w:p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半导体物理基础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现代光学基础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信息电子技术中的场与波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光电子物理基础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电子器件（双语）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VLSI设计基础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就业导论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信号与系统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电磁场理论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通信原理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3</w:t>
            </w:r>
            <w:r>
              <w:rPr>
                <w:rFonts w:hAnsi="宋体"/>
                <w:color w:val="auto"/>
                <w:sz w:val="18"/>
                <w:szCs w:val="18"/>
              </w:rPr>
              <w:t>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自动控制原理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计算机网络概论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微电子机械系统概论（双语、研讨）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4</w:t>
            </w:r>
            <w:r>
              <w:rPr>
                <w:rFonts w:hAnsi="宋体"/>
                <w:color w:val="auto"/>
                <w:sz w:val="18"/>
                <w:szCs w:val="18"/>
              </w:rPr>
              <w:t>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光网技术概论（双语、研讨）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显示技术（研讨）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光电信息技术及应用（双语、研讨）</w:t>
            </w:r>
          </w:p>
        </w:tc>
        <w:tc>
          <w:tcPr>
            <w:tcW w:w="990" w:type="dxa"/>
            <w:vMerge w:val="continue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电子系统设计（研讨）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信号与系统实验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科技论文写作（研讨）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0" w:type="dxa"/>
            <w:gridSpan w:val="3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技术创新与专利知识基础（研讨）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创新工程设计导论（研讨）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2选1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gridSpan w:val="2"/>
            <w:vAlign w:val="top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管理与创新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DDCFE"/>
    <w:multiLevelType w:val="singleLevel"/>
    <w:tmpl w:val="DECDDCFE"/>
    <w:lvl w:ilvl="0" w:tentative="0">
      <w:start w:val="1"/>
      <w:numFmt w:val="decimal"/>
      <w:suff w:val="nothing"/>
      <w:lvlText w:val="%1、"/>
      <w:lvlJc w:val="left"/>
      <w:pPr>
        <w:ind w:left="702" w:leftChars="0" w:firstLine="0" w:firstLineChars="0"/>
      </w:pPr>
    </w:lvl>
  </w:abstractNum>
  <w:abstractNum w:abstractNumId="1">
    <w:nsid w:val="552EA40B"/>
    <w:multiLevelType w:val="singleLevel"/>
    <w:tmpl w:val="552EA4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4A66"/>
    <w:rsid w:val="09214A66"/>
    <w:rsid w:val="28311C5F"/>
    <w:rsid w:val="60581E9C"/>
    <w:rsid w:val="6D535020"/>
    <w:rsid w:val="729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1183</Words>
  <Characters>1267</Characters>
  <Lines>0</Lines>
  <Paragraphs>0</Paragraphs>
  <TotalTime>82</TotalTime>
  <ScaleCrop>false</ScaleCrop>
  <LinksUpToDate>false</LinksUpToDate>
  <CharactersWithSpaces>1277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2018-07-08T10:21:00Z</dcterms:created>
  <dc:creator>最左←→最右</dc:creator>
  <cp:lastModifiedBy>最左←→最右</cp:lastModifiedBy>
  <cp:lastPrinted>2018-07-10T04:56:39Z</cp:lastPrinted>
  <dcterms:modified xsi:type="dcterms:W3CDTF">2018-07-10T05:29:25Z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