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1393190" cy="461010"/>
            <wp:effectExtent l="0" t="0" r="381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480" w:lineRule="auto"/>
        <w:rPr>
          <w:rFonts w:hint="eastAsia" w:ascii="黑体" w:hAnsi="黑体" w:eastAsia="黑体"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专业分流操作手册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教务处</w:t>
            </w:r>
          </w:p>
        </w:tc>
        <w:tc>
          <w:tcPr>
            <w:tcW w:w="1659" w:type="dxa"/>
            <w:vMerge w:val="continue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</w:p>
    <w:p>
      <w:pPr>
        <w:snapToGrid w:val="0"/>
        <w:spacing w:before="156" w:beforeLines="50" w:after="156" w:afterLines="50"/>
        <w:jc w:val="center"/>
        <w:rPr>
          <w:rFonts w:ascii="黑体" w:hAnsi="宋体" w:eastAsia="黑体"/>
          <w:b/>
          <w:bCs/>
          <w:sz w:val="32"/>
          <w:szCs w:val="32"/>
        </w:rPr>
      </w:pPr>
      <w:r>
        <w:rPr>
          <w:rFonts w:ascii="黑体" w:hAnsi="宋体" w:eastAsia="黑体"/>
          <w:b/>
          <w:bCs/>
          <w:sz w:val="32"/>
          <w:szCs w:val="32"/>
        </w:rPr>
        <w:t>版本记录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277"/>
        <w:gridCol w:w="992"/>
        <w:gridCol w:w="1135"/>
        <w:gridCol w:w="4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版本号</w:t>
            </w:r>
          </w:p>
        </w:tc>
        <w:tc>
          <w:tcPr>
            <w:tcW w:w="749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版本日期</w:t>
            </w:r>
          </w:p>
        </w:tc>
        <w:tc>
          <w:tcPr>
            <w:tcW w:w="582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修改</w:t>
            </w:r>
            <w:r>
              <w:rPr>
                <w:rFonts w:hint="eastAsia" w:ascii="Arial" w:hAnsi="宋体" w:cs="Arial"/>
                <w:b/>
                <w:sz w:val="20"/>
                <w:szCs w:val="20"/>
              </w:rPr>
              <w:t>人</w:t>
            </w:r>
          </w:p>
        </w:tc>
        <w:tc>
          <w:tcPr>
            <w:tcW w:w="66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修改章节</w:t>
            </w:r>
          </w:p>
        </w:tc>
        <w:tc>
          <w:tcPr>
            <w:tcW w:w="2440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宋体" w:hAnsi="宋体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pStyle w:val="2"/>
        <w:outlineLvl w:val="9"/>
        <w:rPr>
          <w:rFonts w:ascii="宋体" w:hAnsi="宋体"/>
          <w:sz w:val="21"/>
          <w:szCs w:val="21"/>
          <w:lang w:val="zh-CN"/>
        </w:rPr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jc w:val="center"/>
        <w:rPr>
          <w:rFonts w:ascii="宋体" w:hAnsi="宋体"/>
          <w:sz w:val="21"/>
          <w:szCs w:val="21"/>
        </w:rPr>
      </w:pPr>
      <w:bookmarkStart w:id="0" w:name="_Toc23850"/>
      <w:bookmarkStart w:id="1" w:name="_Toc18207"/>
      <w:r>
        <w:rPr>
          <w:rFonts w:ascii="宋体" w:hAnsi="宋体"/>
          <w:sz w:val="21"/>
          <w:szCs w:val="21"/>
          <w:lang w:val="zh-CN"/>
        </w:rPr>
        <w:t>目</w:t>
      </w:r>
      <w:r>
        <w:rPr>
          <w:rFonts w:hint="eastAsia" w:ascii="宋体" w:hAnsi="宋体"/>
          <w:sz w:val="21"/>
          <w:szCs w:val="21"/>
          <w:lang w:val="zh-CN"/>
        </w:rPr>
        <w:t xml:space="preserve"> </w:t>
      </w:r>
      <w:r>
        <w:rPr>
          <w:rFonts w:ascii="宋体" w:hAnsi="宋体"/>
          <w:sz w:val="21"/>
          <w:szCs w:val="21"/>
          <w:lang w:val="zh-CN"/>
        </w:rPr>
        <w:t>录</w:t>
      </w:r>
      <w:bookmarkEnd w:id="0"/>
      <w:bookmarkEnd w:id="1"/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_Toc18207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  <w:lang w:val="zh-CN"/>
        </w:rPr>
        <w:t>目</w:t>
      </w:r>
      <w:r>
        <w:rPr>
          <w:rFonts w:hint="eastAsia" w:ascii="宋体" w:hAnsi="宋体"/>
          <w:szCs w:val="21"/>
          <w:lang w:val="zh-CN"/>
        </w:rPr>
        <w:t xml:space="preserve"> </w:t>
      </w:r>
      <w:r>
        <w:rPr>
          <w:rFonts w:ascii="宋体" w:hAnsi="宋体"/>
          <w:szCs w:val="21"/>
          <w:lang w:val="zh-CN"/>
        </w:rPr>
        <w:t>录</w:t>
      </w:r>
      <w:r>
        <w:tab/>
      </w:r>
      <w:r>
        <w:fldChar w:fldCharType="begin"/>
      </w:r>
      <w:r>
        <w:instrText xml:space="preserve"> PAGEREF _Toc18207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_Toc11990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1.1编写目的</w:t>
      </w:r>
      <w:r>
        <w:tab/>
      </w:r>
      <w:r>
        <w:fldChar w:fldCharType="begin"/>
      </w:r>
      <w:r>
        <w:instrText xml:space="preserve"> PAGEREF _Toc11990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_Toc23726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1.2 手册构成</w:t>
      </w:r>
      <w:r>
        <w:tab/>
      </w:r>
      <w:r>
        <w:fldChar w:fldCharType="begin"/>
      </w:r>
      <w:r>
        <w:instrText xml:space="preserve"> PAGEREF _Toc23726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_Toc4039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1.3 使用对象</w:t>
      </w:r>
      <w:r>
        <w:tab/>
      </w:r>
      <w:r>
        <w:fldChar w:fldCharType="begin"/>
      </w:r>
      <w:r>
        <w:instrText xml:space="preserve"> PAGEREF _Toc4039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_Toc8524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 系统的启动</w:t>
      </w:r>
      <w:bookmarkStart w:id="25" w:name="_GoBack"/>
      <w:bookmarkEnd w:id="25"/>
      <w:r>
        <w:rPr>
          <w:rFonts w:hint="eastAsia" w:ascii="宋体" w:hAnsi="宋体"/>
          <w:szCs w:val="21"/>
        </w:rPr>
        <w:t>与进入</w:t>
      </w:r>
      <w:r>
        <w:tab/>
      </w:r>
      <w:r>
        <w:fldChar w:fldCharType="begin"/>
      </w:r>
      <w:r>
        <w:instrText xml:space="preserve"> PAGEREF _Toc8524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_Toc2625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2.1 浏览器设置</w:t>
      </w:r>
      <w:r>
        <w:tab/>
      </w:r>
      <w:r>
        <w:fldChar w:fldCharType="begin"/>
      </w:r>
      <w:r>
        <w:instrText xml:space="preserve"> PAGEREF _Toc2625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_Toc23816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2.2 登录主页面</w:t>
      </w:r>
      <w:r>
        <w:tab/>
      </w:r>
      <w:r>
        <w:fldChar w:fldCharType="begin"/>
      </w:r>
      <w:r>
        <w:instrText xml:space="preserve"> PAGEREF _Toc23816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_Toc18741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3 系统的使用</w:t>
      </w:r>
      <w:r>
        <w:tab/>
      </w:r>
      <w:r>
        <w:fldChar w:fldCharType="begin"/>
      </w:r>
      <w:r>
        <w:instrText xml:space="preserve"> PAGEREF _Toc18741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_Toc28375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lang w:val="en-US" w:eastAsia="zh-CN"/>
        </w:rPr>
        <w:t>3.1 设置分流绩点计算课程</w:t>
      </w:r>
      <w:r>
        <w:tab/>
      </w:r>
      <w:r>
        <w:fldChar w:fldCharType="begin"/>
      </w:r>
      <w:r>
        <w:instrText xml:space="preserve"> PAGEREF _Toc28375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_Toc14436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lang w:val="en-US" w:eastAsia="zh-CN"/>
        </w:rPr>
        <w:t>3.2专业分流录取</w:t>
      </w:r>
      <w:r>
        <w:tab/>
      </w:r>
      <w:r>
        <w:fldChar w:fldCharType="begin"/>
      </w:r>
      <w:r>
        <w:instrText xml:space="preserve"> PAGEREF _Toc14436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_Toc14436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lang w:val="en-US" w:eastAsia="zh-CN"/>
        </w:rPr>
        <w:t>3.3专业分流分班管理</w:t>
      </w:r>
      <w:r>
        <w:tab/>
      </w:r>
      <w:r>
        <w:fldChar w:fldCharType="begin"/>
      </w:r>
      <w:r>
        <w:instrText xml:space="preserve"> PAGEREF _Toc14436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rPr>
          <w:rFonts w:hint="default" w:eastAsia="宋体"/>
          <w:lang w:val="en-US" w:eastAsia="zh-CN"/>
        </w:rPr>
      </w:pPr>
    </w:p>
    <w:p>
      <w:pPr>
        <w:pStyle w:val="2"/>
        <w:spacing w:before="200" w:after="200" w:line="400" w:lineRule="exact"/>
        <w:outlineLvl w:val="9"/>
        <w:rPr>
          <w:rFonts w:hint="eastAsia" w:ascii="宋体" w:hAnsi="宋体"/>
          <w:sz w:val="21"/>
          <w:szCs w:val="21"/>
        </w:rPr>
        <w:sectPr>
          <w:footerReference r:id="rId8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宋体" w:hAnsi="宋体"/>
          <w:szCs w:val="21"/>
        </w:rPr>
        <w:fldChar w:fldCharType="end"/>
      </w:r>
      <w:bookmarkStart w:id="2" w:name="_Toc304827482"/>
      <w:bookmarkStart w:id="3" w:name="_Toc308092659"/>
      <w:bookmarkStart w:id="4" w:name="_Toc313440132"/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5" w:name="_Toc4308"/>
      <w:r>
        <w:rPr>
          <w:rFonts w:hint="eastAsia" w:ascii="宋体" w:hAnsi="宋体"/>
          <w:sz w:val="21"/>
          <w:szCs w:val="21"/>
        </w:rPr>
        <w:t>1</w:t>
      </w:r>
      <w:bookmarkEnd w:id="2"/>
      <w:bookmarkEnd w:id="3"/>
      <w:r>
        <w:rPr>
          <w:rFonts w:hint="eastAsia" w:ascii="宋体" w:hAnsi="宋体"/>
          <w:sz w:val="21"/>
          <w:szCs w:val="21"/>
        </w:rPr>
        <w:t xml:space="preserve"> 阅读指南</w:t>
      </w:r>
      <w:bookmarkEnd w:id="4"/>
      <w:bookmarkEnd w:id="5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6" w:name="_Toc11990"/>
      <w:bookmarkStart w:id="7" w:name="_Toc304827483"/>
      <w:bookmarkStart w:id="8" w:name="_Toc313440133"/>
      <w:bookmarkStart w:id="9" w:name="_Toc308092660"/>
      <w:r>
        <w:rPr>
          <w:rFonts w:hint="eastAsia" w:ascii="宋体" w:hAnsi="宋体"/>
          <w:sz w:val="21"/>
          <w:szCs w:val="21"/>
        </w:rPr>
        <w:t>1.1编写目的</w:t>
      </w:r>
      <w:bookmarkEnd w:id="6"/>
      <w:bookmarkEnd w:id="7"/>
      <w:bookmarkEnd w:id="8"/>
      <w:bookmarkEnd w:id="9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本操作手册作为学院使用专业分流时的速查手册用。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0" w:name="_Toc23726"/>
      <w:bookmarkStart w:id="11" w:name="_Toc313440134"/>
      <w:r>
        <w:rPr>
          <w:rFonts w:hint="eastAsia" w:ascii="宋体" w:hAnsi="宋体"/>
          <w:sz w:val="21"/>
          <w:szCs w:val="21"/>
        </w:rPr>
        <w:t>1.2 手册构成</w:t>
      </w:r>
      <w:bookmarkEnd w:id="10"/>
      <w:bookmarkEnd w:id="11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本手册提供了专业分流分流录取、分班等操作。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2" w:name="_Toc313440135"/>
      <w:bookmarkStart w:id="13" w:name="_Toc4039"/>
      <w:r>
        <w:rPr>
          <w:rFonts w:hint="eastAsia" w:ascii="宋体" w:hAnsi="宋体"/>
          <w:sz w:val="21"/>
          <w:szCs w:val="21"/>
        </w:rPr>
        <w:t>1.3 使用对象</w:t>
      </w:r>
      <w:bookmarkEnd w:id="12"/>
      <w:bookmarkEnd w:id="13"/>
    </w:p>
    <w:p>
      <w:pPr>
        <w:pStyle w:val="13"/>
        <w:ind w:left="84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院系-学籍科</w:t>
      </w:r>
    </w:p>
    <w:p>
      <w:pPr>
        <w:pStyle w:val="13"/>
        <w:ind w:left="84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4" w:name="_Toc8524"/>
      <w:bookmarkStart w:id="15" w:name="_Toc313440139"/>
      <w:bookmarkStart w:id="16" w:name="_Toc1794"/>
      <w:r>
        <w:rPr>
          <w:rFonts w:hint="eastAsia" w:ascii="宋体" w:hAnsi="宋体"/>
          <w:sz w:val="21"/>
          <w:szCs w:val="21"/>
        </w:rPr>
        <w:t>2 系统的启动与进入</w:t>
      </w:r>
      <w:bookmarkEnd w:id="14"/>
      <w:bookmarkEnd w:id="15"/>
      <w:bookmarkEnd w:id="16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7" w:name="_Toc2625"/>
      <w:bookmarkStart w:id="18" w:name="_Toc313440140"/>
      <w:r>
        <w:rPr>
          <w:rFonts w:hint="eastAsia" w:ascii="宋体" w:hAnsi="宋体"/>
          <w:sz w:val="21"/>
          <w:szCs w:val="21"/>
        </w:rPr>
        <w:t>2.1 浏览器设置</w:t>
      </w:r>
      <w:bookmarkEnd w:id="17"/>
      <w:bookmarkEnd w:id="18"/>
    </w:p>
    <w:p>
      <w:pPr>
        <w:rPr>
          <w:rFonts w:hint="eastAsia"/>
        </w:rPr>
      </w:pPr>
      <w:bookmarkStart w:id="19" w:name="_Toc313440141"/>
      <w:r>
        <w:rPr>
          <w:rFonts w:hint="eastAsia"/>
        </w:rPr>
        <w:t>网上办事大厅只兼容使用 Chrome内核(版本50以上) 和 IE9及以上内核 的浏览器，推荐使用新版chrome浏览器或新版360极速浏览器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0" w:name="_Toc23816"/>
      <w:r>
        <w:rPr>
          <w:rFonts w:hint="eastAsia" w:ascii="宋体" w:hAnsi="宋体"/>
          <w:sz w:val="21"/>
          <w:szCs w:val="21"/>
        </w:rPr>
        <w:t>2.2 登录主页面</w:t>
      </w:r>
      <w:bookmarkEnd w:id="19"/>
      <w:bookmarkEnd w:id="20"/>
    </w:p>
    <w:p>
      <w:pPr>
        <w:rPr>
          <w:rFonts w:hint="eastAsia"/>
        </w:rPr>
      </w:pPr>
      <w:r>
        <w:rPr>
          <w:rFonts w:hint="eastAsia"/>
        </w:rPr>
        <w:t>进入网上办事大厅：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2"/>
        </w:rPr>
        <w:t>http://ehall.seu.edu.cn</w:t>
      </w:r>
      <w: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2498725"/>
            <wp:effectExtent l="0" t="0" r="4445" b="3175"/>
            <wp:docPr id="2" name="图片 4" descr="1578882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7888281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1" w:name="_Toc18741"/>
      <w:bookmarkStart w:id="22" w:name="_Toc19812"/>
      <w:r>
        <w:rPr>
          <w:rFonts w:hint="eastAsia" w:ascii="宋体" w:hAnsi="宋体"/>
          <w:sz w:val="21"/>
          <w:szCs w:val="21"/>
        </w:rPr>
        <w:t>3 系统的使用</w:t>
      </w:r>
      <w:bookmarkEnd w:id="21"/>
      <w:bookmarkEnd w:id="22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3" w:name="_Toc28375"/>
      <w:r>
        <w:rPr>
          <w:rFonts w:hint="eastAsia"/>
          <w:lang w:val="en-US" w:eastAsia="zh-CN"/>
        </w:rPr>
        <w:t>3.1 设置分流绩点计算课程</w:t>
      </w:r>
      <w:bookmarkEnd w:id="23"/>
    </w:p>
    <w:p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选</w:t>
      </w:r>
      <w:r>
        <w:rPr>
          <w:rFonts w:hint="eastAsia"/>
        </w:rPr>
        <w:t>择</w:t>
      </w:r>
      <w:r>
        <w:rPr>
          <w:rFonts w:hint="eastAsia"/>
          <w:lang w:val="en-US" w:eastAsia="zh-CN"/>
        </w:rPr>
        <w:t>培养方案管理</w:t>
      </w:r>
      <w:r>
        <w:rPr>
          <w:rFonts w:hint="eastAsia"/>
        </w:rPr>
        <w:t>APP，以院系-学籍科身份进入。</w:t>
      </w:r>
    </w:p>
    <w:p>
      <w:r>
        <w:drawing>
          <wp:inline distT="0" distB="0" distL="114300" distR="114300">
            <wp:extent cx="5266690" cy="2156460"/>
            <wp:effectExtent l="0" t="0" r="381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打开资格审核课程设置，选择需要设置的培养方案，点击编辑进入详细课程页面，勾选需要参与分流绩点计算的课程，点击‘设置’选择专业分流，设为‘是’。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379980"/>
            <wp:effectExtent l="0" t="0" r="9525" b="7620"/>
            <wp:docPr id="5" name="图片 5" descr="164793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93970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outlineLvl w:val="1"/>
        <w:rPr>
          <w:rFonts w:hint="default"/>
          <w:lang w:val="en-US" w:eastAsia="zh-CN"/>
        </w:rPr>
      </w:pPr>
      <w:r>
        <w:br w:type="page"/>
      </w:r>
      <w:bookmarkStart w:id="24" w:name="_Toc14436"/>
      <w:r>
        <w:rPr>
          <w:rFonts w:hint="eastAsia"/>
          <w:lang w:val="en-US" w:eastAsia="zh-CN"/>
        </w:rPr>
        <w:t>3.2专业分流录取</w:t>
      </w:r>
      <w:bookmarkEnd w:id="24"/>
    </w:p>
    <w:p>
      <w:pPr>
        <w:rPr>
          <w:rFonts w:hint="eastAsia"/>
          <w:lang w:val="en-US" w:eastAsia="zh-CN"/>
        </w:rPr>
      </w:pPr>
    </w:p>
    <w:p>
      <w:pPr>
        <w:ind w:firstLine="210" w:firstLineChars="100"/>
        <w:rPr>
          <w:rFonts w:hint="eastAsia"/>
        </w:rPr>
      </w:pPr>
      <w:r>
        <w:rPr>
          <w:rFonts w:hint="eastAsia"/>
          <w:lang w:val="en-US" w:eastAsia="zh-CN"/>
        </w:rPr>
        <w:t>选</w:t>
      </w:r>
      <w:r>
        <w:rPr>
          <w:rFonts w:hint="eastAsia"/>
        </w:rPr>
        <w:t>择专业分流APP，以院系-学籍科身份进入。</w:t>
      </w:r>
    </w:p>
    <w:p>
      <w:r>
        <w:drawing>
          <wp:inline distT="0" distB="0" distL="114300" distR="114300">
            <wp:extent cx="5274310" cy="2593340"/>
            <wp:effectExtent l="0" t="0" r="8890" b="1016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进入计算绩点，系统根据培养方案-资格审核课程设置-分流课程进行计算，在导入或输入学生的综合成绩。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997075"/>
            <wp:effectExtent l="0" t="0" r="3810" b="9525"/>
            <wp:docPr id="6" name="图片 6" descr="1648005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80059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进入录取学院，录取学生，学院录取完成之后在按专业或学生录入学生。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4150" cy="2427605"/>
            <wp:effectExtent l="0" t="0" r="6350" b="10795"/>
            <wp:docPr id="14" name="图片 14" descr="16245310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453104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2880" cy="2546985"/>
            <wp:effectExtent l="0" t="0" r="7620" b="5715"/>
            <wp:docPr id="15" name="图片 15" descr="16245311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2453115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0500" cy="2477770"/>
            <wp:effectExtent l="0" t="0" r="0" b="11430"/>
            <wp:docPr id="16" name="图片 16" descr="16245317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4531711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3.3专业分流分班管理</w:t>
      </w:r>
    </w:p>
    <w:p>
      <w:pPr>
        <w:ind w:firstLine="420"/>
        <w:rPr>
          <w:rFonts w:hint="eastAsia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1"/>
          <w:szCs w:val="21"/>
          <w:lang w:val="en-US" w:eastAsia="zh-CN"/>
        </w:rPr>
        <w:t>进入专业分流分班管理页面。</w:t>
      </w:r>
    </w:p>
    <w:p>
      <w:pPr>
        <w:rPr>
          <w:rFonts w:hint="default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1"/>
          <w:szCs w:val="21"/>
          <w:lang w:val="en-US" w:eastAsia="zh-CN"/>
        </w:rPr>
        <w:t xml:space="preserve">    勾选需要分班的学生，点击‘批量分班’，进入专业方向、班级选择页面，维护转入专业方向，转入班级，培养方案默认为专业的主修培养方案。点击保存，完成分班。</w:t>
      </w:r>
    </w:p>
    <w:p>
      <w:r>
        <w:drawing>
          <wp:inline distT="0" distB="0" distL="114300" distR="114300">
            <wp:extent cx="5266690" cy="1891665"/>
            <wp:effectExtent l="0" t="0" r="381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sz w:val="21"/>
          <w:szCs w:val="21"/>
          <w:lang w:val="en-US" w:eastAsia="zh-CN"/>
        </w:rPr>
        <w:t>分班之后，教务处针对分班结果进行分流更新学籍，院系可在已完成页面导出数据。</w:t>
      </w:r>
    </w:p>
    <w:p>
      <w:pPr>
        <w:rPr>
          <w:rFonts w:hint="default"/>
          <w:b w:val="0"/>
          <w:bCs w:val="0"/>
          <w:i w:val="0"/>
          <w:i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i w:val="0"/>
          <w:iCs w:val="0"/>
          <w:sz w:val="21"/>
          <w:szCs w:val="21"/>
          <w:lang w:val="en-US" w:eastAsia="zh-CN"/>
        </w:rPr>
        <w:drawing>
          <wp:inline distT="0" distB="0" distL="114300" distR="114300">
            <wp:extent cx="5266690" cy="2178050"/>
            <wp:effectExtent l="0" t="0" r="3810" b="6350"/>
            <wp:docPr id="18" name="图片 18" descr="162453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45320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sVhPrSAQAAowMAAA4AAABkcnMvZTJvRG9jLnhtbK1TS27bMBDd&#10;F+gdCO5rKQ7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xWE+t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both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10页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HNwfrN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10页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drawing>
        <wp:inline distT="0" distB="0" distL="114300" distR="114300">
          <wp:extent cx="753110" cy="248285"/>
          <wp:effectExtent l="0" t="0" r="8890" b="5715"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hint="eastAsia"/>
        <w:lang w:val="en-US" w:eastAsia="zh-CN"/>
      </w:rPr>
      <w:t>专业分流</w:t>
    </w:r>
    <w:r>
      <w:rPr>
        <w:rFonts w:hint="eastAsia" w:ascii="宋体" w:hAnsi="宋体" w:cs="宋体"/>
      </w:rPr>
      <w:t>管理</w:t>
    </w:r>
    <w:r>
      <w:rPr>
        <w:rFonts w:hint="eastAsia" w:ascii="宋体" w:hAnsi="宋体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/>
      </w:rPr>
    </w:pPr>
    <w:r>
      <w:t xml:space="preserve"> </w:t>
    </w:r>
    <w:r>
      <w:drawing>
        <wp:inline distT="0" distB="0" distL="114300" distR="114300">
          <wp:extent cx="753110" cy="248285"/>
          <wp:effectExtent l="0" t="0" r="8890" b="5715"/>
          <wp:docPr id="1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hint="eastAsia"/>
      </w:rPr>
      <w:t>业</w:t>
    </w:r>
    <w:r>
      <w:t>务系统</w:t>
    </w:r>
    <w:r>
      <w:rPr>
        <w:rFonts w:hint="eastAsia"/>
      </w:rPr>
      <w:t>操作</w:t>
    </w:r>
    <w: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NWI1MmQ5NWM3NjE0NmVhNmFkYjBmYmFiM2Q0MTgifQ=="/>
  </w:docVars>
  <w:rsids>
    <w:rsidRoot w:val="61B83234"/>
    <w:rsid w:val="1F9721BD"/>
    <w:rsid w:val="49CF4C48"/>
    <w:rsid w:val="61B83234"/>
    <w:rsid w:val="64063851"/>
    <w:rsid w:val="6C7D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0" w:beforeLines="0" w:after="20" w:afterLines="0" w:line="416" w:lineRule="auto"/>
      <w:outlineLvl w:val="1"/>
    </w:pPr>
    <w:rPr>
      <w:rFonts w:ascii="Cambria" w:hAnsi="Cambria" w:eastAsia="宋体" w:cs="Times New Roman"/>
      <w:b/>
      <w:bCs/>
      <w:sz w:val="21"/>
      <w:szCs w:val="32"/>
    </w:rPr>
  </w:style>
  <w:style w:type="paragraph" w:styleId="4">
    <w:name w:val="heading 3"/>
    <w:basedOn w:val="1"/>
    <w:next w:val="1"/>
    <w:link w:val="14"/>
    <w:qFormat/>
    <w:uiPriority w:val="0"/>
    <w:pPr>
      <w:keepNext/>
      <w:keepLines/>
      <w:spacing w:before="20" w:beforeLines="0" w:after="20" w:afterLines="0" w:line="416" w:lineRule="auto"/>
      <w:outlineLvl w:val="2"/>
    </w:pPr>
    <w:rPr>
      <w:rFonts w:ascii="Calibri" w:hAnsi="Calibri" w:eastAsia="宋体"/>
      <w:b/>
      <w:bCs/>
      <w:sz w:val="21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0"/>
    <w:pPr>
      <w:ind w:firstLine="420" w:firstLineChars="200"/>
    </w:pPr>
  </w:style>
  <w:style w:type="character" w:customStyle="1" w:styleId="14">
    <w:name w:val="标题 3 字符"/>
    <w:link w:val="4"/>
    <w:qFormat/>
    <w:uiPriority w:val="0"/>
    <w:rPr>
      <w:rFonts w:ascii="Calibri" w:hAnsi="Calibri" w:eastAsia="宋体"/>
      <w:b/>
      <w:bCs/>
      <w:sz w:val="21"/>
      <w:szCs w:val="32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630</Words>
  <Characters>701</Characters>
  <Lines>0</Lines>
  <Paragraphs>0</Paragraphs>
  <TotalTime>0</TotalTime>
  <ScaleCrop>false</ScaleCrop>
  <LinksUpToDate>false</LinksUpToDate>
  <CharactersWithSpaces>740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2021-06-24T08:29:00Z</dcterms:created>
  <dc:creator>Administrator</dc:creator>
  <cp:lastModifiedBy>shadow·moon</cp:lastModifiedBy>
  <dcterms:modified xsi:type="dcterms:W3CDTF">2022-06-13T01:21:12Z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E62DDF6EDD1A424B914F0EEA022500CE</vt:lpwstr>
  </property>
</Properties>
</file>