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1" w:id="br1"/>
      </w:r>
      <w:r>
        <w:bookmarkEnd w:id="br1"/>
      </w:r>
      <w:r>
        <w:rPr>
          <w:rFonts w:ascii="SimHei" w:hAnsi="SimHei" w:cs="SimHei"/>
          <w:color w:val="000000"/>
          <w:spacing w:val="-3"/>
          <w:sz w:val="32"/>
        </w:rPr>
        <w:t>附件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9" w:after="0" w:line="370" w:lineRule="exact"/>
        <w:ind w:left="1127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Hei" w:hAnsi="SimHei" w:cs="SimHei"/>
          <w:color w:val="000000"/>
          <w:spacing w:val="-4"/>
          <w:sz w:val="36"/>
        </w:rPr>
        <w:t>中央财政科研项目专家咨询费管理办法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spacing w:before="875" w:after="0" w:line="330" w:lineRule="exact"/>
        <w:ind w:left="63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第一条</w:t>
      </w:r>
      <w:r>
        <w:rPr>
          <w:rFonts w:ascii="Times New Roman"/>
          <w:color w:val="000000"/>
          <w:spacing w:val="243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为加强和规范专家咨询费的管理，根据《预算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法》以及中央本级项目支出定额标准等国家有关预算管理制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度规定，制定本办法。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63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第二条</w:t>
      </w:r>
      <w:r>
        <w:rPr>
          <w:rFonts w:ascii="Times New Roman"/>
          <w:color w:val="000000"/>
          <w:spacing w:val="231"/>
          <w:sz w:val="32"/>
        </w:rPr>
        <w:t xml:space="preserve"> </w:t>
      </w:r>
      <w:r>
        <w:rPr>
          <w:rFonts w:ascii="FangSong" w:hAnsi="FangSong" w:cs="FangSong"/>
          <w:color w:val="000000"/>
          <w:spacing w:val="-14"/>
          <w:sz w:val="32"/>
        </w:rPr>
        <w:t>专家咨询费是指科研项目（课题）承担单位（以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1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下简称单位）在项目（课题）实施过程中支付给临时聘请的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咨询专家的费用。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63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第三条</w:t>
      </w:r>
      <w:r>
        <w:rPr>
          <w:rFonts w:ascii="Times New Roman"/>
          <w:color w:val="000000"/>
          <w:spacing w:val="243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本办法适用于由中央财政科研项目资金列支的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专家咨询费。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1" w:after="0" w:line="330" w:lineRule="exact"/>
        <w:ind w:left="63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第四条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FangSong" w:hAnsi="FangSong" w:cs="FangSong"/>
          <w:color w:val="000000"/>
          <w:spacing w:val="-7"/>
          <w:sz w:val="32"/>
        </w:rPr>
        <w:t>本办法的专家是指精通某一领域业务，或对相关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科技业务的某一方面有独到见解，已取得高级专业技术职称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7"/>
          <w:sz w:val="32"/>
        </w:rPr>
        <w:t>的人员或被科研项目（课题）承担单位认可的其他专业人员。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63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第五条</w:t>
      </w:r>
      <w:r>
        <w:rPr>
          <w:rFonts w:ascii="Times New Roman"/>
          <w:color w:val="000000"/>
          <w:spacing w:val="243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单位应当结合实际制定统一、合理、规范的咨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1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询专家遴选办法，并在单位内部公开。具备条件的单位应当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建立多领域、多学科的咨询专家库。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63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第六条</w:t>
      </w:r>
      <w:r>
        <w:rPr>
          <w:rFonts w:ascii="Times New Roman"/>
          <w:color w:val="000000"/>
          <w:spacing w:val="231"/>
          <w:sz w:val="32"/>
        </w:rPr>
        <w:t xml:space="preserve"> </w:t>
      </w:r>
      <w:r>
        <w:rPr>
          <w:rFonts w:ascii="FangSong" w:hAnsi="FangSong" w:cs="FangSong"/>
          <w:color w:val="000000"/>
          <w:spacing w:val="-4"/>
          <w:sz w:val="32"/>
        </w:rPr>
        <w:t>高级专业技术职称人员的专家咨询费标准为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82" w:after="0" w:line="36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JQUFPT+TimesNewRomanPSMT"/>
          <w:color w:val="000000"/>
          <w:spacing w:val="-2"/>
          <w:sz w:val="32"/>
        </w:rPr>
        <w:t>1500-2400</w:t>
      </w:r>
      <w:r>
        <w:rPr>
          <w:rFonts w:ascii="FangSong" w:hAnsi="FangSong" w:cs="FangSong"/>
          <w:color w:val="000000"/>
          <w:spacing w:val="-11"/>
          <w:sz w:val="32"/>
        </w:rPr>
        <w:t>元／人天（税后）；其他专业人员的专家咨询费标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7" w:after="0" w:line="36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准为</w:t>
      </w:r>
      <w:r>
        <w:rPr>
          <w:rFonts w:ascii="JQUFPT+TimesNewRomanPSMT"/>
          <w:color w:val="000000"/>
          <w:spacing w:val="-2"/>
          <w:sz w:val="32"/>
        </w:rPr>
        <w:t>900-1500</w:t>
      </w:r>
      <w:r>
        <w:rPr>
          <w:rFonts w:ascii="FangSong" w:hAnsi="FangSong" w:cs="FangSong"/>
          <w:color w:val="000000"/>
          <w:spacing w:val="-21"/>
          <w:sz w:val="32"/>
        </w:rPr>
        <w:t>元／人天（税后）。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68" w:after="0" w:line="330" w:lineRule="exact"/>
        <w:ind w:left="63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第七条</w:t>
      </w:r>
      <w:r>
        <w:rPr>
          <w:rFonts w:ascii="Times New Roman"/>
          <w:color w:val="000000"/>
          <w:spacing w:val="243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院士、全国知名专家，可按照高级专业技术职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82" w:after="0" w:line="36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称人员的专家咨询费标准上浮</w:t>
      </w:r>
      <w:r>
        <w:rPr>
          <w:rFonts w:ascii="JQUFPT+TimesNewRomanPSMT"/>
          <w:color w:val="000000"/>
          <w:spacing w:val="-2"/>
          <w:sz w:val="32"/>
        </w:rPr>
        <w:t>50%</w:t>
      </w:r>
      <w:r>
        <w:rPr>
          <w:rFonts w:ascii="FangSong" w:hAnsi="FangSong" w:cs="FangSong"/>
          <w:color w:val="000000"/>
          <w:spacing w:val="-4"/>
          <w:sz w:val="32"/>
        </w:rPr>
        <w:t>执行。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718" w:after="0" w:line="190" w:lineRule="exact"/>
        <w:ind w:left="4109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1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485" w:right="100" w:bottom="0" w:left="18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30" w:lineRule="exact"/>
        <w:ind w:left="707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0" style="position:absolute;margin-left:77.65pt;margin-top:401.8pt;z-index:-3;width:434.3pt;height:342.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FangSong" w:hAnsi="FangSong" w:cs="FangSong"/>
          <w:color w:val="000000"/>
          <w:spacing w:val="0"/>
          <w:sz w:val="32"/>
        </w:rPr>
        <w:t>第八条</w:t>
      </w:r>
      <w:r>
        <w:rPr>
          <w:rFonts w:ascii="Times New Roman"/>
          <w:color w:val="000000"/>
          <w:spacing w:val="243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本办法所指专家咨询活动的组织形式主要有会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74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议、现场访谈或者勘察、通讯三种形式。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82" w:after="0" w:line="365" w:lineRule="exact"/>
        <w:ind w:left="707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3"/>
          <w:sz w:val="32"/>
        </w:rPr>
        <w:t>（</w:t>
      </w:r>
      <w:r>
        <w:rPr>
          <w:rFonts w:ascii="JQUFPT+TimesNewRomanPSMT"/>
          <w:color w:val="000000"/>
          <w:spacing w:val="-3"/>
          <w:sz w:val="32"/>
        </w:rPr>
        <w:t>1</w:t>
      </w:r>
      <w:r>
        <w:rPr>
          <w:rFonts w:ascii="FangSong" w:hAnsi="FangSong" w:cs="FangSong"/>
          <w:color w:val="000000"/>
          <w:spacing w:val="-7"/>
          <w:sz w:val="32"/>
        </w:rPr>
        <w:t>）以会议形式组织的咨询，是指通过召开专家参加的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67" w:after="0" w:line="330" w:lineRule="exact"/>
        <w:ind w:left="74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会议，征询专家的意见和建议。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82" w:after="0" w:line="365" w:lineRule="exact"/>
        <w:ind w:left="707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3"/>
          <w:sz w:val="32"/>
        </w:rPr>
        <w:t>（</w:t>
      </w:r>
      <w:r>
        <w:rPr>
          <w:rFonts w:ascii="JQUFPT+TimesNewRomanPSMT"/>
          <w:color w:val="000000"/>
          <w:spacing w:val="-3"/>
          <w:sz w:val="32"/>
        </w:rPr>
        <w:t>2</w:t>
      </w:r>
      <w:r>
        <w:rPr>
          <w:rFonts w:ascii="FangSong" w:hAnsi="FangSong" w:cs="FangSong"/>
          <w:color w:val="000000"/>
          <w:spacing w:val="-7"/>
          <w:sz w:val="32"/>
        </w:rPr>
        <w:t>）以现场访谈或者勘察形式组织的咨询，是指通过组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68" w:after="0" w:line="330" w:lineRule="exact"/>
        <w:ind w:left="74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织现场谈话，或者查看实地、实物、原始业务资料等方式征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74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询专家的意见和建议。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81" w:after="0" w:line="365" w:lineRule="exact"/>
        <w:ind w:left="707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3"/>
          <w:sz w:val="32"/>
        </w:rPr>
        <w:t>（</w:t>
      </w:r>
      <w:r>
        <w:rPr>
          <w:rFonts w:ascii="JQUFPT+TimesNewRomanPSMT"/>
          <w:color w:val="000000"/>
          <w:spacing w:val="-3"/>
          <w:sz w:val="32"/>
        </w:rPr>
        <w:t>3</w:t>
      </w:r>
      <w:r>
        <w:rPr>
          <w:rFonts w:ascii="FangSong" w:hAnsi="FangSong" w:cs="FangSong"/>
          <w:color w:val="000000"/>
          <w:spacing w:val="-7"/>
          <w:sz w:val="32"/>
        </w:rPr>
        <w:t>）以通讯形式组织的咨询，是指通过信函、邮件等方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68" w:after="0" w:line="330" w:lineRule="exact"/>
        <w:ind w:left="74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式征询专家的意见和建议。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635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3"/>
          <w:sz w:val="32"/>
        </w:rPr>
        <w:t>第九条</w:t>
      </w:r>
      <w:r>
        <w:rPr>
          <w:rFonts w:ascii="Times New Roman"/>
          <w:color w:val="000000"/>
          <w:spacing w:val="249"/>
          <w:sz w:val="32"/>
        </w:rPr>
        <w:t xml:space="preserve"> </w:t>
      </w:r>
      <w:r>
        <w:rPr>
          <w:rFonts w:ascii="FangSong" w:hAnsi="FangSong" w:cs="FangSong"/>
          <w:color w:val="000000"/>
          <w:spacing w:val="3"/>
          <w:sz w:val="32"/>
        </w:rPr>
        <w:t>不同形式组织的专家咨询活动适用专家咨询费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74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标准如下：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523" w:after="0" w:line="64" w:lineRule="exact"/>
        <w:ind w:left="1008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1509"/>
          <w:sz w:val="28"/>
        </w:rPr>
        <w:t xml:space="preserve"> </w:t>
      </w:r>
      <w:r>
        <w:rPr>
          <w:rFonts w:ascii="FangSong" w:hAnsi="FangSong" w:cs="FangSong"/>
          <w:color w:val="000000"/>
          <w:spacing w:val="-3"/>
          <w:sz w:val="28"/>
        </w:rPr>
        <w:t>半天</w:t>
      </w:r>
      <w:r>
        <w:rPr>
          <w:rFonts w:ascii="Times New Roman"/>
          <w:color w:val="000000"/>
          <w:spacing w:val="873"/>
          <w:sz w:val="28"/>
        </w:rPr>
        <w:t xml:space="preserve"> </w:t>
      </w:r>
      <w:r>
        <w:rPr>
          <w:rFonts w:ascii="FangSong" w:hAnsi="FangSong" w:cs="FangSong"/>
          <w:color w:val="000000"/>
          <w:spacing w:val="-4"/>
          <w:sz w:val="28"/>
        </w:rPr>
        <w:t>不超过两天（含</w:t>
      </w:r>
      <w:r>
        <w:rPr>
          <w:rFonts w:ascii="Times New Roman"/>
          <w:color w:val="000000"/>
          <w:spacing w:val="665"/>
          <w:sz w:val="28"/>
        </w:rPr>
        <w:t xml:space="preserve"> </w:t>
      </w:r>
      <w:r>
        <w:rPr>
          <w:rFonts w:ascii="FangSong" w:hAnsi="FangSong" w:cs="FangSong"/>
          <w:color w:val="000000"/>
          <w:spacing w:val="-3"/>
          <w:sz w:val="28"/>
        </w:rPr>
        <w:t>超过两天</w:t>
      </w:r>
      <w:r>
        <w:rPr>
          <w:rFonts w:ascii="FangSong" w:hAnsi="FangSong" w:cs="FangSong"/>
          <w:color w:val="000000"/>
          <w:spacing w:val="-3"/>
          <w:sz w:val="28"/>
        </w:rPr>
        <w:cr>""</w:cr>
      </w:r>
      <w:r>
        <w:rPr>
          <w:rFonts w:ascii="FangSong" w:hAnsi="FangSong" w:cs="FangSong"/>
          <w:color w:val="000000"/>
          <w:spacing w:val="-3"/>
          <w:sz w:val="28"/>
        </w:rPr>
        <w:t>会期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90" w:after="0" w:line="290" w:lineRule="exact"/>
        <w:ind w:left="463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" w:hAnsi="FangSong" w:cs="FangSong"/>
          <w:color w:val="000000"/>
          <w:spacing w:val="-3"/>
          <w:sz w:val="28"/>
        </w:rPr>
        <w:t>两天）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29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" w:hAnsi="FangSong" w:cs="FangSong"/>
          <w:color w:val="000000"/>
          <w:spacing w:val="-3"/>
          <w:sz w:val="28"/>
        </w:rPr>
        <w:t>组织形式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545" w:lineRule="exact"/>
        <w:ind w:left="6235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" w:hAnsi="FangSong" w:cs="FangSong"/>
          <w:color w:val="000000"/>
          <w:spacing w:val="-4"/>
          <w:sz w:val="28"/>
        </w:rPr>
        <w:t>第一天、第二天：</w:t>
      </w:r>
      <w:r>
        <w:rPr>
          <w:rFonts w:ascii="FangSong" w:hAnsi="FangSong" w:cs="FangSong"/>
          <w:color w:val="000000"/>
          <w:spacing w:val="-4"/>
          <w:sz w:val="28"/>
        </w:rPr>
        <w:cr>""</w:cr>
      </w:r>
      <w:r>
        <w:rPr>
          <w:rFonts w:ascii="FangSong" w:hAnsi="FangSong" w:cs="FangSong"/>
          <w:color w:val="000000"/>
          <w:spacing w:val="32"/>
          <w:sz w:val="28"/>
        </w:rPr>
        <w:t>按照本办法第六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73" w:after="0" w:line="272" w:lineRule="exact"/>
        <w:ind w:left="186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4305"/>
          <w:sz w:val="28"/>
        </w:rPr>
        <w:t xml:space="preserve"> </w:t>
      </w:r>
      <w:r>
        <w:rPr>
          <w:rFonts w:ascii="FangSong" w:hAnsi="FangSong" w:cs="FangSong"/>
          <w:color w:val="000000"/>
          <w:spacing w:val="32"/>
          <w:sz w:val="28"/>
        </w:rPr>
        <w:t>条所规定的标准</w:t>
      </w:r>
      <w:r>
        <w:rPr>
          <w:rFonts w:ascii="FangSong" w:hAnsi="FangSong" w:cs="FangSong"/>
          <w:color w:val="000000"/>
          <w:spacing w:val="32"/>
          <w:sz w:val="28"/>
        </w:rPr>
        <w:cr>""</w:cr>
      </w:r>
      <w:r>
        <w:rPr>
          <w:rFonts w:ascii="FangSong" w:hAnsi="FangSong" w:cs="FangSong"/>
          <w:color w:val="000000"/>
          <w:spacing w:val="9"/>
          <w:sz w:val="28"/>
        </w:rPr>
        <w:t>按照本办法第六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FangSong" w:hAnsi="FangSong" w:cs="FangSong"/>
          <w:color w:val="000000"/>
          <w:spacing w:val="-4"/>
          <w:sz w:val="28"/>
        </w:rPr>
        <w:t>按照本办法第六</w:t>
      </w:r>
      <w:r>
        <w:rPr>
          <w:rFonts w:ascii="FangSong" w:hAnsi="FangSong" w:cs="FangSong"/>
          <w:color w:val="000000"/>
          <w:spacing w:val="-4"/>
          <w:sz w:val="28"/>
        </w:rPr>
        <w:cr>""</w:cr>
      </w:r>
      <w:r>
        <w:rPr>
          <w:rFonts w:ascii="Times New Roman"/>
          <w:color w:val="000000"/>
          <w:spacing w:val="4305"/>
          <w:sz w:val="28"/>
        </w:rPr>
        <w:t xml:space="preserve"> </w:t>
      </w:r>
      <w:r>
        <w:rPr>
          <w:rFonts w:ascii="FangSong" w:hAnsi="FangSong" w:cs="FangSong"/>
          <w:color w:val="000000"/>
          <w:spacing w:val="-4"/>
          <w:sz w:val="28"/>
        </w:rPr>
        <w:t>执行；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290" w:lineRule="exact"/>
        <w:ind w:left="58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" w:hAnsi="FangSong" w:cs="FangSong"/>
          <w:color w:val="000000"/>
          <w:spacing w:val="-3"/>
          <w:sz w:val="28"/>
        </w:rPr>
        <w:t>会议</w:t>
      </w:r>
      <w:r>
        <w:rPr>
          <w:rFonts w:ascii="Times New Roman"/>
          <w:color w:val="000000"/>
          <w:spacing w:val="654"/>
          <w:sz w:val="28"/>
        </w:rPr>
        <w:t xml:space="preserve"> </w:t>
      </w:r>
      <w:r>
        <w:rPr>
          <w:rFonts w:ascii="FangSong" w:hAnsi="FangSong" w:cs="FangSong"/>
          <w:color w:val="000000"/>
          <w:spacing w:val="9"/>
          <w:sz w:val="28"/>
        </w:rPr>
        <w:t>条所规定标准的</w:t>
      </w:r>
      <w:r>
        <w:rPr>
          <w:rFonts w:ascii="Times New Roman"/>
          <w:color w:val="000000"/>
          <w:spacing w:val="132"/>
          <w:sz w:val="28"/>
        </w:rPr>
        <w:t xml:space="preserve"> </w:t>
      </w:r>
      <w:r>
        <w:rPr>
          <w:rFonts w:ascii="FangSong" w:hAnsi="FangSong" w:cs="FangSong"/>
          <w:color w:val="000000"/>
          <w:spacing w:val="-4"/>
          <w:sz w:val="28"/>
        </w:rPr>
        <w:t>条所规定的标准</w:t>
      </w:r>
      <w:r>
        <w:rPr>
          <w:rFonts w:ascii="Times New Roman"/>
          <w:color w:val="000000"/>
          <w:spacing w:val="0"/>
          <w:sz w:val="28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860"/>
        <w:gridCol w:w="4355"/>
        <w:gridCol w:w="20"/>
        <w:gridCol w:w="2231"/>
      </w:tblGrid>
      <w:tr>
        <w:trPr>
          <w:trHeight w:val="824" w:hRule="atLeast"/>
        </w:trPr>
        <w:tc>
          <w:tcPr>
            <w:tcW w:w="186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8"/>
              </w:rPr>
            </w:pPr>
            <w:r>
              <w:rPr>
                <w:rFonts w:ascii="Times New Roman"/>
                <w:color w:val="000000"/>
                <w:spacing w:val="0"/>
                <w:sz w:val="28"/>
              </w:rPr>
            </w:r>
          </w:p>
        </w:tc>
        <w:tc>
          <w:tcPr>
            <w:tcW w:w="4355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64" w:after="0" w:line="31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8"/>
              </w:rPr>
            </w:pPr>
            <w:r>
              <w:rPr>
                <w:rFonts w:ascii="JQUFPT+TimesNewRomanPSMT"/>
                <w:color w:val="000000"/>
                <w:spacing w:val="-2"/>
                <w:sz w:val="28"/>
              </w:rPr>
              <w:t>60%</w:t>
            </w:r>
            <w:r>
              <w:rPr>
                <w:rFonts w:ascii="FangSong" w:hAnsi="FangSong" w:cs="FangSong"/>
                <w:color w:val="000000"/>
                <w:spacing w:val="-3"/>
                <w:sz w:val="28"/>
              </w:rPr>
              <w:t>执行。</w:t>
            </w:r>
            <w:r>
              <w:rPr>
                <w:rFonts w:ascii="Times New Roman"/>
                <w:color w:val="000000"/>
                <w:spacing w:val="819"/>
                <w:sz w:val="28"/>
              </w:rPr>
              <w:t xml:space="preserve"> </w:t>
            </w:r>
            <w:r>
              <w:rPr>
                <w:rFonts w:ascii="FangSong" w:hAnsi="FangSong" w:cs="FangSong"/>
                <w:color w:val="000000"/>
                <w:spacing w:val="-4"/>
                <w:sz w:val="28"/>
              </w:rPr>
              <w:t>执行。</w:t>
            </w:r>
            <w:r>
              <w:rPr>
                <w:rFonts w:ascii="Times New Roman"/>
                <w:color w:val="000000"/>
                <w:spacing w:val="0"/>
                <w:sz w:val="28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8"/>
              </w:rPr>
            </w:pPr>
            <w:r>
              <w:rPr>
                <w:rFonts w:ascii="Times New Roman"/>
                <w:color w:val="000000"/>
                <w:spacing w:val="0"/>
                <w:sz w:val="28"/>
              </w:rPr>
            </w:r>
          </w:p>
        </w:tc>
        <w:tc>
          <w:tcPr>
            <w:tcW w:w="22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8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8"/>
              </w:rPr>
            </w:pPr>
            <w:r>
              <w:rPr>
                <w:rFonts w:ascii="FangSong" w:hAnsi="FangSong" w:cs="FangSong"/>
                <w:color w:val="000000"/>
                <w:spacing w:val="-11"/>
                <w:sz w:val="28"/>
              </w:rPr>
              <w:t>第三天及以后：按</w:t>
            </w:r>
            <w:r>
              <w:rPr>
                <w:rFonts w:ascii="Times New Roman"/>
                <w:color w:val="000000"/>
                <w:spacing w:val="0"/>
                <w:sz w:val="28"/>
              </w:rPr>
            </w:r>
          </w:p>
          <w:p>
            <w:pPr>
              <w:pStyle w:val="Normal"/>
              <w:spacing w:before="265" w:after="0" w:line="28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8"/>
              </w:rPr>
            </w:pPr>
            <w:r>
              <w:rPr>
                <w:rFonts w:ascii="FangSong" w:hAnsi="FangSong" w:cs="FangSong"/>
                <w:color w:val="000000"/>
                <w:spacing w:val="32"/>
                <w:sz w:val="28"/>
              </w:rPr>
              <w:t>照本办法第六条</w:t>
            </w:r>
            <w:r>
              <w:rPr>
                <w:rFonts w:ascii="Times New Roman"/>
                <w:color w:val="000000"/>
                <w:spacing w:val="0"/>
                <w:sz w:val="28"/>
              </w:rPr>
            </w:r>
          </w:p>
        </w:tc>
      </w:tr>
    </w:tbl>
    <w:p>
      <w:pPr>
        <w:pStyle w:val="Normal"/>
        <w:spacing w:before="265" w:after="0" w:line="290" w:lineRule="exact"/>
        <w:ind w:left="6235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" w:hAnsi="FangSong" w:cs="FangSong"/>
          <w:color w:val="000000"/>
          <w:spacing w:val="0"/>
          <w:sz w:val="28"/>
        </w:rPr>
        <w:t>所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FangSong" w:hAnsi="FangSong" w:cs="FangSong"/>
          <w:color w:val="000000"/>
          <w:spacing w:val="0"/>
          <w:sz w:val="28"/>
        </w:rPr>
        <w:t>规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FangSong" w:hAnsi="FangSong" w:cs="FangSong"/>
          <w:color w:val="000000"/>
          <w:spacing w:val="0"/>
          <w:sz w:val="28"/>
        </w:rPr>
        <w:t>定</w:t>
      </w:r>
      <w:r>
        <w:rPr>
          <w:rFonts w:ascii="Times New Roman"/>
          <w:color w:val="000000"/>
          <w:spacing w:val="22"/>
          <w:sz w:val="28"/>
        </w:rPr>
        <w:t xml:space="preserve"> </w:t>
      </w:r>
      <w:r>
        <w:rPr>
          <w:rFonts w:ascii="FangSong" w:hAnsi="FangSong" w:cs="FangSong"/>
          <w:color w:val="000000"/>
          <w:spacing w:val="0"/>
          <w:sz w:val="28"/>
        </w:rPr>
        <w:t>标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FangSong" w:hAnsi="FangSong" w:cs="FangSong"/>
          <w:color w:val="000000"/>
          <w:spacing w:val="0"/>
          <w:sz w:val="28"/>
        </w:rPr>
        <w:t>准</w:t>
      </w:r>
      <w:r>
        <w:rPr>
          <w:rFonts w:ascii="Times New Roman"/>
          <w:color w:val="000000"/>
          <w:spacing w:val="24"/>
          <w:sz w:val="28"/>
        </w:rPr>
        <w:t xml:space="preserve"> </w:t>
      </w:r>
      <w:r>
        <w:rPr>
          <w:rFonts w:ascii="FangSong" w:hAnsi="FangSong" w:cs="FangSong"/>
          <w:color w:val="000000"/>
          <w:spacing w:val="0"/>
          <w:sz w:val="28"/>
        </w:rPr>
        <w:t>的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46" w:after="0" w:line="320" w:lineRule="exact"/>
        <w:ind w:left="6235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JQUFPT+TimesNewRomanPSMT"/>
          <w:color w:val="000000"/>
          <w:spacing w:val="-2"/>
          <w:sz w:val="28"/>
        </w:rPr>
        <w:t>50%</w:t>
      </w:r>
      <w:r>
        <w:rPr>
          <w:rFonts w:ascii="FangSong" w:hAnsi="FangSong" w:cs="FangSong"/>
          <w:color w:val="000000"/>
          <w:spacing w:val="-3"/>
          <w:sz w:val="28"/>
        </w:rPr>
        <w:t>执行。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44" w:after="0" w:line="290" w:lineRule="exact"/>
        <w:ind w:left="1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" w:hAnsi="FangSong" w:cs="FangSong"/>
          <w:color w:val="000000"/>
          <w:spacing w:val="-3"/>
          <w:sz w:val="28"/>
        </w:rPr>
        <w:t>现场访谈或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7" w:after="0" w:line="272" w:lineRule="exact"/>
        <w:ind w:left="443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1347"/>
          <w:sz w:val="28"/>
        </w:rPr>
        <w:t xml:space="preserve"> </w:t>
      </w:r>
      <w:r>
        <w:rPr>
          <w:rFonts w:ascii="FangSong" w:hAnsi="FangSong" w:cs="FangSong"/>
          <w:color w:val="000000"/>
          <w:spacing w:val="-4"/>
          <w:sz w:val="28"/>
        </w:rPr>
        <w:t>按照上述以会议形式组织的专家咨询费相关标准执行。</w:t>
      </w:r>
      <w:r>
        <w:rPr>
          <w:rFonts w:ascii="FangSong" w:hAnsi="FangSong" w:cs="FangSong"/>
          <w:color w:val="000000"/>
          <w:spacing w:val="-4"/>
          <w:sz w:val="28"/>
        </w:rPr>
        <w:cr>""</w:cr>
      </w:r>
      <w:r>
        <w:rPr>
          <w:rFonts w:ascii="FangSong" w:hAnsi="FangSong" w:cs="FangSong"/>
          <w:color w:val="000000"/>
          <w:spacing w:val="-3"/>
          <w:sz w:val="28"/>
        </w:rPr>
        <w:t>者勘察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998" w:after="0" w:line="190" w:lineRule="exact"/>
        <w:ind w:left="4183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2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485" w:right="100" w:bottom="0" w:left="172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508"/>
        <w:gridCol w:w="1258"/>
        <w:gridCol w:w="20"/>
        <w:gridCol w:w="5879"/>
      </w:tblGrid>
      <w:tr>
        <w:trPr>
          <w:trHeight w:val="846" w:hRule="atLeast"/>
        </w:trPr>
        <w:tc>
          <w:tcPr>
            <w:tcW w:w="50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noProof w:val="on"/>
              </w:rPr>
            </w:pPr>
            <w:r>
              <w:bookmarkStart w:name="br3" w:id="br3"/>
            </w:r>
            <w:r>
              <w:bookmarkEnd w:id="br3"/>
            </w:r>
            <w:r>
              <w:rPr>
                <w:noProof w:val="on"/>
              </w:rPr>
              <w:pict>
                <v:shape xmlns:v="urn:schemas-microsoft-com:vml" id="_x00001" style="position:absolute;margin-left:-6.65pt;margin-top:-3.5pt;z-index:-7;width:428.6pt;height:57.45pt;mso-position-horizontal:absolute;mso-position-horizontal-relative:page;mso-position-vertical:absolute;mso-position-vertical-relative:page" type="#_x0000_t75">
                  <v:imagedata xmlns:r="http://schemas.openxmlformats.org/officeDocument/2006/relationships" r:id="rId2"/>
                </v:shape>
              </w:pict>
            </w:r>
          </w:p>
        </w:tc>
        <w:tc>
          <w:tcPr>
            <w:tcW w:w="125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72" w:after="0" w:line="28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8"/>
              </w:rPr>
            </w:pPr>
            <w:r>
              <w:rPr>
                <w:rFonts w:ascii="FangSong" w:hAnsi="FangSong" w:cs="FangSong"/>
                <w:color w:val="000000"/>
                <w:spacing w:val="-3"/>
                <w:sz w:val="28"/>
              </w:rPr>
              <w:t>通讯</w:t>
            </w:r>
            <w:r>
              <w:rPr>
                <w:rFonts w:ascii="Times New Roman"/>
                <w:color w:val="000000"/>
                <w:spacing w:val="0"/>
                <w:sz w:val="28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8"/>
              </w:rPr>
            </w:pPr>
            <w:r>
              <w:rPr>
                <w:rFonts w:ascii="Times New Roman"/>
                <w:color w:val="000000"/>
                <w:spacing w:val="0"/>
                <w:sz w:val="28"/>
              </w:rPr>
            </w:r>
          </w:p>
        </w:tc>
        <w:tc>
          <w:tcPr>
            <w:tcW w:w="587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8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8"/>
              </w:rPr>
            </w:pPr>
            <w:r>
              <w:rPr>
                <w:rFonts w:ascii="FangSong" w:hAnsi="FangSong" w:cs="FangSong"/>
                <w:color w:val="000000"/>
                <w:spacing w:val="-4"/>
                <w:sz w:val="28"/>
              </w:rPr>
              <w:t>按次计算，每次按照本办法第六条所规定标准的</w:t>
            </w:r>
            <w:r>
              <w:rPr>
                <w:rFonts w:ascii="Times New Roman"/>
                <w:color w:val="000000"/>
                <w:spacing w:val="0"/>
                <w:sz w:val="28"/>
              </w:rPr>
            </w:r>
          </w:p>
          <w:p>
            <w:pPr>
              <w:pStyle w:val="Normal"/>
              <w:spacing w:before="256" w:after="0" w:line="31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8"/>
              </w:rPr>
            </w:pPr>
            <w:r>
              <w:rPr>
                <w:rFonts w:ascii="JQUFPT+TimesNewRomanPSMT"/>
                <w:color w:val="000000"/>
                <w:spacing w:val="-2"/>
                <w:sz w:val="28"/>
              </w:rPr>
              <w:t>20-50%</w:t>
            </w:r>
            <w:r>
              <w:rPr>
                <w:rFonts w:ascii="FangSong" w:hAnsi="FangSong" w:cs="FangSong"/>
                <w:color w:val="000000"/>
                <w:spacing w:val="-3"/>
                <w:sz w:val="28"/>
              </w:rPr>
              <w:t>执行。</w:t>
            </w:r>
            <w:r>
              <w:rPr>
                <w:rFonts w:ascii="Times New Roman"/>
                <w:color w:val="000000"/>
                <w:spacing w:val="0"/>
                <w:sz w:val="28"/>
              </w:rPr>
            </w:r>
          </w:p>
        </w:tc>
      </w:tr>
    </w:tbl>
    <w:p>
      <w:pPr>
        <w:pStyle w:val="Normal"/>
        <w:spacing w:before="810" w:after="0" w:line="330" w:lineRule="exact"/>
        <w:ind w:left="63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第十条</w:t>
      </w:r>
      <w:r>
        <w:rPr>
          <w:rFonts w:ascii="Times New Roman"/>
          <w:color w:val="000000"/>
          <w:spacing w:val="243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不同领域、相同专业技术职称的专家咨询费标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准应当保持一致。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63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第十一条</w:t>
      </w:r>
      <w:r>
        <w:rPr>
          <w:rFonts w:ascii="Times New Roman"/>
          <w:color w:val="000000"/>
          <w:spacing w:val="244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根据国家经济社会发展水平和物价变动等情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况，财政部适时对专家咨询费标准进行调整。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1" w:after="0" w:line="330" w:lineRule="exact"/>
        <w:ind w:left="63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第十二条</w:t>
      </w:r>
      <w:r>
        <w:rPr>
          <w:rFonts w:ascii="Times New Roman"/>
          <w:color w:val="000000"/>
          <w:spacing w:val="244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专家咨询费不得支付给参与项目（课题）研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究及其管理的相关人员。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63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第十三条</w:t>
      </w:r>
      <w:r>
        <w:rPr>
          <w:rFonts w:ascii="Times New Roman"/>
          <w:color w:val="000000"/>
          <w:spacing w:val="244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专家咨询费的发放应当按照国家有关规定由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单位代扣代缴个人所得税。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1" w:after="0" w:line="330" w:lineRule="exact"/>
        <w:ind w:left="63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第十四条</w:t>
      </w:r>
      <w:r>
        <w:rPr>
          <w:rFonts w:ascii="Times New Roman"/>
          <w:color w:val="000000"/>
          <w:spacing w:val="244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单位发放专家咨询费原则上采用银行转账方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3"/>
          <w:sz w:val="32"/>
        </w:rPr>
        <w:t>式。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63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第十五条</w:t>
      </w:r>
      <w:r>
        <w:rPr>
          <w:rFonts w:ascii="Times New Roman"/>
          <w:color w:val="000000"/>
          <w:spacing w:val="244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单位应当建立专家咨询费的支付审核机制，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6"/>
          <w:sz w:val="32"/>
        </w:rPr>
        <w:t>负责核实专家咨询行为及专家咨询费发放的真实性、合规性，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1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并及时向代理银行办理支付手续。对专家信息不真实、存在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虚假咨询行为，以及其他违反本办法或单位有关规定的，单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位应当拒绝办理支付手续。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63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4"/>
          <w:sz w:val="32"/>
        </w:rPr>
        <w:t>第十六条</w:t>
      </w:r>
      <w:r>
        <w:rPr>
          <w:rFonts w:ascii="Times New Roman"/>
          <w:color w:val="000000"/>
          <w:spacing w:val="272"/>
          <w:sz w:val="32"/>
        </w:rPr>
        <w:t xml:space="preserve"> </w:t>
      </w:r>
      <w:r>
        <w:rPr>
          <w:rFonts w:ascii="FangSong" w:hAnsi="FangSong" w:cs="FangSong"/>
          <w:color w:val="000000"/>
          <w:spacing w:val="14"/>
          <w:sz w:val="32"/>
        </w:rPr>
        <w:t>单位应当对专家咨询费的开支做好财务记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1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录，并及时归档，定期对专家咨询费支付情况进行检查。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63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第十七条</w:t>
      </w:r>
      <w:r>
        <w:rPr>
          <w:rFonts w:ascii="Times New Roman"/>
          <w:color w:val="000000"/>
          <w:spacing w:val="244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地方财政科研项目开支的专家咨询费可参照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本办法，结合本地实际予以执行。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956" w:after="0" w:line="190" w:lineRule="exact"/>
        <w:ind w:left="4109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3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490" w:right="100" w:bottom="0" w:left="18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30" w:lineRule="exact"/>
        <w:ind w:left="632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4" w:id="br4"/>
      </w:r>
      <w:r>
        <w:bookmarkEnd w:id="br4"/>
      </w:r>
      <w:r>
        <w:rPr>
          <w:rFonts w:ascii="FangSong" w:hAnsi="FangSong" w:cs="FangSong"/>
          <w:color w:val="000000"/>
          <w:spacing w:val="0"/>
          <w:sz w:val="32"/>
        </w:rPr>
        <w:t>第十八条</w:t>
      </w:r>
      <w:r>
        <w:rPr>
          <w:rFonts w:ascii="Times New Roman"/>
          <w:color w:val="000000"/>
          <w:spacing w:val="244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单位可根据本办法有关规定，结合单位实际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制定实施细则。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92" w:after="0" w:line="330" w:lineRule="exact"/>
        <w:ind w:left="63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第十九条</w:t>
      </w:r>
      <w:r>
        <w:rPr>
          <w:rFonts w:ascii="Times New Roman"/>
          <w:color w:val="000000"/>
          <w:spacing w:val="233"/>
          <w:sz w:val="32"/>
        </w:rPr>
        <w:t xml:space="preserve"> </w:t>
      </w:r>
      <w:r>
        <w:rPr>
          <w:rFonts w:ascii="FangSong" w:hAnsi="FangSong" w:cs="FangSong"/>
          <w:color w:val="000000"/>
          <w:spacing w:val="-4"/>
          <w:sz w:val="32"/>
        </w:rPr>
        <w:t>本办法自印发之日起施行。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2576" w:after="0" w:line="190" w:lineRule="exact"/>
        <w:ind w:left="4109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4</w:t>
      </w:r>
      <w:r>
        <w:rPr>
          <w:rFonts w:ascii="SimSun"/>
          <w:color w:val="000000"/>
          <w:spacing w:val="0"/>
          <w:sz w:val="18"/>
        </w:rPr>
      </w:r>
    </w:p>
    <w:sectPr>
      <w:pgSz w:w="11900" w:h="16840"/>
      <w:pgMar w:top="1485" w:right="100" w:bottom="0" w:left="180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charset w:val="cc"/>
    <w:family w:val="roman"/>
    <w:notTrueType w:val="off"/>
    <w:pitch w:val="variable"/>
    <w:sig w:usb0="01010101" w:usb1="01010101" w:usb2="01010101" w:usb3="01010101" w:csb0="01010101" w:csb1="01010101"/>
  </w:font>
  <w:font w:name="SimHei">
    <w:charset w:val="01"/>
    <w:family w:val="auto"/>
    <w:notTrueType w:val="on"/>
    <w:pitch w:val="default"/>
    <w:sig w:usb0="01010101" w:usb1="01010101" w:usb2="01010101" w:usb3="01010101" w:csb0="01010101" w:csb1="01010101"/>
  </w:font>
  <w:font w:name="FangSong">
    <w:charset w:val="01"/>
    <w:family w:val="auto"/>
    <w:notTrueType w:val="on"/>
    <w:pitch w:val="default"/>
    <w:sig w:usb0="01010101" w:usb1="01010101" w:usb2="01010101" w:usb3="01010101" w:csb0="01010101" w:csb1="01010101"/>
  </w:font>
  <w:font w:name="JQUFPT+TimesNewRomanPSMT"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2B9D394-0000-0000-0000-000000000000}"/>
  </w:font>
  <w:font w:name="SimSun"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4</Pages>
  <Words>123</Words>
  <Characters>1221</Characters>
  <Application>Aspose</Application>
  <DocSecurity>0</DocSecurity>
  <Lines>5</Lines>
  <Paragraphs>76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1255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mqq</dc:creator>
  <lastModifiedBy>mqq</lastModifiedBy>
  <revision>1</revision>
  <dcterms:created xmlns:xsi="http://www.w3.org/2001/XMLSchema-instance" xmlns:dcterms="http://purl.org/dc/terms/" xsi:type="dcterms:W3CDTF">2022-05-25T23:56:22+08:00</dcterms:created>
  <dcterms:modified xmlns:xsi="http://www.w3.org/2001/XMLSchema-instance" xmlns:dcterms="http://purl.org/dc/terms/" xsi:type="dcterms:W3CDTF">2022-05-25T23:56:22+08:00</dcterms:modified>
</coreProperties>
</file>