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70" w:lineRule="exact"/>
        <w:ind w:left="1817" w:right="0" w:firstLine="0"/>
        <w:jc w:val="left"/>
        <w:rPr>
          <w:rFonts w:ascii="SimHei"/>
          <w:color w:val="000000"/>
          <w:spacing w:val="0"/>
          <w:sz w:val="36"/>
        </w:rPr>
      </w:pPr>
      <w:r>
        <w:bookmarkStart w:name="br1" w:id="br1"/>
      </w:r>
      <w:r>
        <w:bookmarkEnd w:id="br1"/>
      </w:r>
      <w:r>
        <w:rPr>
          <w:rFonts w:ascii="SimHei" w:hAnsi="SimHei" w:cs="SimHei"/>
          <w:color w:val="000000"/>
          <w:spacing w:val="0"/>
          <w:sz w:val="36"/>
        </w:rPr>
        <w:t>国家重点研发计划资金管理办法</w:t>
      </w:r>
      <w:r>
        <w:rPr>
          <w:rFonts w:ascii="SimHei"/>
          <w:color w:val="000000"/>
          <w:spacing w:val="0"/>
          <w:sz w:val="36"/>
        </w:rPr>
      </w:r>
    </w:p>
    <w:p>
      <w:pPr>
        <w:pStyle w:val="Normal"/>
        <w:spacing w:before="1220" w:after="0" w:line="310" w:lineRule="exact"/>
        <w:ind w:left="3287" w:right="0" w:firstLine="0"/>
        <w:jc w:val="left"/>
        <w:rPr>
          <w:rFonts w:ascii="SimHei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第一章</w:t>
      </w:r>
      <w:r>
        <w:rPr>
          <w:rFonts w:ascii="SimHei"/>
          <w:color w:val="000000"/>
          <w:spacing w:val="150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总</w:t>
      </w:r>
      <w:r>
        <w:rPr>
          <w:rFonts w:ascii="SimHei"/>
          <w:color w:val="000000"/>
          <w:spacing w:val="150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则</w:t>
      </w:r>
      <w:r>
        <w:rPr>
          <w:rFonts w:ascii="SimHei"/>
          <w:color w:val="000000"/>
          <w:spacing w:val="0"/>
          <w:sz w:val="30"/>
        </w:rPr>
      </w:r>
    </w:p>
    <w:p>
      <w:pPr>
        <w:pStyle w:val="Normal"/>
        <w:spacing w:before="195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第一条</w:t>
      </w:r>
      <w:r>
        <w:rPr>
          <w:rFonts w:ascii="SimHei"/>
          <w:color w:val="000000"/>
          <w:spacing w:val="59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为规范国家重点研发计划资金管理和使用，提高资金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使用效益，根据《国务院关于改进加强中央财政科研项目和资金管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8"/>
          <w:sz w:val="30"/>
        </w:rPr>
        <w:t>理的若干意见》（国发〔2014〕11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 w:hAnsi="FangSong" w:cs="FangSong"/>
          <w:color w:val="000000"/>
          <w:spacing w:val="-20"/>
          <w:sz w:val="30"/>
        </w:rPr>
        <w:t>号）、《国务院印发关于深化中央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16"/>
          <w:sz w:val="30"/>
        </w:rPr>
        <w:t>财政科技计划（专项、基金等）管理改革方案的通知》（国发〔2014〕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/>
          <w:color w:val="000000"/>
          <w:spacing w:val="0"/>
          <w:sz w:val="30"/>
        </w:rPr>
        <w:t>64</w:t>
      </w:r>
      <w:r>
        <w:rPr>
          <w:rFonts w:ascii="FangSong"/>
          <w:color w:val="000000"/>
          <w:spacing w:val="2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号）和《中共中央办公厅</w:t>
      </w:r>
      <w:r>
        <w:rPr>
          <w:rFonts w:ascii="FangSong"/>
          <w:color w:val="000000"/>
          <w:spacing w:val="2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国务院办公厅印发&lt;关于进一步完善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8"/>
          <w:sz w:val="30"/>
        </w:rPr>
        <w:t>中央财政科研项目资金管理等政策的若干意见&gt;的通知》，以及国家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有关财经法规和财务管理制度，结合国家重点研发计划管理特点，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制定本办法。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第二条</w:t>
      </w:r>
      <w:r>
        <w:rPr>
          <w:rFonts w:ascii="SimHei"/>
          <w:color w:val="000000"/>
          <w:spacing w:val="59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国家重点研发计划由若干目标明确、边界清晰的重点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专项组成，重点专项采取从基础前沿、重大共性关键技术到应用示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范全链条一体化组织实施方式。重点专项下设项目，项目可根据自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身特点和需要下设课题。重点专项实行概预算管理，重点专项项目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实行预算管理。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第三条</w:t>
      </w:r>
      <w:r>
        <w:rPr>
          <w:rFonts w:ascii="SimHei"/>
          <w:color w:val="000000"/>
          <w:spacing w:val="26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国家重点研发计划实行多元化投入方式，资金来源包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括中央财政资金、地方财政资金、单位自筹资金和从其他渠道获得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的资金。中央财政资金支持方式包括前补助和后补助，具体支持方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式在编制重点专项实施方案和年度项目申报指南时予以明确。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第四条</w:t>
      </w:r>
      <w:r>
        <w:rPr>
          <w:rFonts w:ascii="SimHei"/>
          <w:color w:val="000000"/>
          <w:spacing w:val="59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本办法主要规范中央财政安排的采用前补助支持方式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13"/>
          <w:sz w:val="30"/>
        </w:rPr>
        <w:t>的国家重点研发计划资金（以下简称“重点研发计划资金”），中央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财政后补助支持方式具体规定另行制定。其他来源的资金应当按照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595" w:after="0" w:line="209" w:lineRule="exact"/>
        <w:ind w:left="4264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1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551" w:right="100" w:bottom="0" w:left="16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2" w:id="br2"/>
      </w:r>
      <w:r>
        <w:bookmarkEnd w:id="br2"/>
      </w:r>
      <w:r>
        <w:rPr>
          <w:rFonts w:ascii="FangSong" w:hAnsi="FangSong" w:cs="FangSong"/>
          <w:color w:val="000000"/>
          <w:spacing w:val="-3"/>
          <w:sz w:val="30"/>
        </w:rPr>
        <w:t>国家有关财务会计制度和相关资金提供方的具体使用管理要求，统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筹安排和使用。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第五条</w:t>
      </w:r>
      <w:r>
        <w:rPr>
          <w:rFonts w:ascii="SimHei"/>
          <w:color w:val="000000"/>
          <w:spacing w:val="59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重点专项项目牵头承担单位、课题承担单位和课题参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与单位（以下简称“承担单位”）应当是在中国大陆境内注册、具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有独立法人资格的科研院所、高等院校、企业等。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第六条</w:t>
      </w:r>
      <w:r>
        <w:rPr>
          <w:rFonts w:ascii="SimHei"/>
          <w:color w:val="000000"/>
          <w:spacing w:val="59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重点研发计划资金的管理和使用遵循以下原则：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（一）集中财力，突出重点。重点研发计划资金聚焦重点专项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研发任务，重点支持市场机制不能有效配置资源的公共科技活动。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注重加强统筹规划，避免资金安排分散重复。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8"/>
          <w:sz w:val="30"/>
        </w:rPr>
        <w:t>（二）明晰权责，放管结合。政府部门不再直接管理具体项目，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委托项目管理专业机构（以下简称“专业机构”）开展重点专项项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目资金管理。充分发挥承担单位资金管理的法人责任，完善内控机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制建设，提高管理服务水平。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8"/>
          <w:sz w:val="30"/>
        </w:rPr>
        <w:t>（三）遵循规律，注重绩效。重点研发计划资金的管理和使用，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应当体现重点专项组织实施的特点，遵循科研活动规律和依法理财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的要求。强化事中和事后监管，完善信息公开公示制度，建立面向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结果的绩效评价机制，提高资金使用效益。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第七条</w:t>
      </w:r>
      <w:r>
        <w:rPr>
          <w:rFonts w:ascii="SimHei"/>
          <w:color w:val="000000"/>
          <w:spacing w:val="59"/>
          <w:sz w:val="30"/>
        </w:rPr>
        <w:t xml:space="preserve"> </w:t>
      </w:r>
      <w:r>
        <w:rPr>
          <w:rFonts w:ascii="FangSong" w:hAnsi="FangSong" w:cs="FangSong"/>
          <w:color w:val="000000"/>
          <w:spacing w:val="-5"/>
          <w:sz w:val="30"/>
        </w:rPr>
        <w:t>重点研发计划资金实行分级管理、分级负责。财政部、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科技部负责研究制定重点研发计划资金管理制度，组织重点专项概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算编制和评估，组织开展对重点专项资金的监督检查；财政部按照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资金管理制度，核定批复重点专项概预算；专业机构是重点专项资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8"/>
          <w:sz w:val="30"/>
        </w:rPr>
        <w:t>金管理和监督的责任主体，负责组织重点专项项目预算申报、评估、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下达和项目财务验收，组织开展对项目资金的监督检查；承担单位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8"/>
          <w:sz w:val="30"/>
        </w:rPr>
        <w:t>是项目资金管理使用的责任主体，负责项目资金的日常管理和监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45" w:after="0" w:line="209" w:lineRule="exact"/>
        <w:ind w:left="4264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2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3" w:id="br3"/>
      </w:r>
      <w:r>
        <w:bookmarkEnd w:id="br3"/>
      </w:r>
      <w:r>
        <w:rPr>
          <w:rFonts w:ascii="FangSong" w:hAnsi="FangSong" w:cs="FangSong"/>
          <w:color w:val="000000"/>
          <w:spacing w:val="0"/>
          <w:sz w:val="30"/>
        </w:rPr>
        <w:t>督。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78" w:after="0" w:line="310" w:lineRule="exact"/>
        <w:ind w:left="2387" w:right="0" w:firstLine="0"/>
        <w:jc w:val="left"/>
        <w:rPr>
          <w:rFonts w:ascii="SimHei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第二章</w:t>
      </w:r>
      <w:r>
        <w:rPr>
          <w:rFonts w:ascii="SimHei"/>
          <w:color w:val="000000"/>
          <w:spacing w:val="150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重点专项概预算管理</w:t>
      </w:r>
      <w:r>
        <w:rPr>
          <w:rFonts w:ascii="SimHei"/>
          <w:color w:val="000000"/>
          <w:spacing w:val="0"/>
          <w:sz w:val="30"/>
        </w:rPr>
      </w:r>
    </w:p>
    <w:p>
      <w:pPr>
        <w:pStyle w:val="Normal"/>
        <w:spacing w:before="195" w:after="0" w:line="310" w:lineRule="exact"/>
        <w:ind w:left="564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第八条</w:t>
      </w:r>
      <w:r>
        <w:rPr>
          <w:rFonts w:ascii="SimHei"/>
          <w:color w:val="000000"/>
          <w:spacing w:val="62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重点专项概算是指对专项实施周期内，专项任务实施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所需总费用的事前估算，是重点专项预算安排的重要依据。重点专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项概算包括总概算和年度概算。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4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第九条</w:t>
      </w:r>
      <w:r>
        <w:rPr>
          <w:rFonts w:ascii="SimHei"/>
          <w:color w:val="000000"/>
          <w:spacing w:val="62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专业机构根据重点专项的目标和任务，编报重点专项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概算，报财政部、科技部。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第十条</w:t>
      </w:r>
      <w:r>
        <w:rPr>
          <w:rFonts w:ascii="SimHei"/>
          <w:color w:val="000000"/>
          <w:spacing w:val="59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重点专项概算应当同时编制收入概算和支出概算，确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保收支平衡。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重点专项收入概算包括中央财政资金概算和其他来源的资金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概算。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重点专项支出概算包括支出总概算和年度支出概算。专业机构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应当在充分论证、科学合理分解重点专项任务基础上，根据任务相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关性、配置适当性和经济合理性的原则，按照任务级次和不同研发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阶段编列支出概算。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第十一条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财政部、科技部委托相关机构对重点专项概算进行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评估。根据评估结果，结合财力可能，财政部核定并批复重点专项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中央财政资金总概算和年度概算。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第十二条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中央财政资金总概算一般不予调整。重点专项任务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目标发生重大变化等导致中央财政资金总概算确需调整的，专业机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构在履行相关任务调整审批程序后，提出调整申请，经科技部审核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后，按程序报财政部审批。总概算不变，重点专项年度间重大任务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调整等导致年度概算需要调整的，由专业机构提出申请，经科技部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审核后，按程序报财政部审批。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318" w:after="0" w:line="209" w:lineRule="exact"/>
        <w:ind w:left="4264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3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462" w:right="100" w:bottom="0" w:left="16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4" w:id="br4"/>
      </w:r>
      <w:r>
        <w:bookmarkEnd w:id="br4"/>
      </w:r>
      <w:r>
        <w:rPr>
          <w:rFonts w:ascii="SimHei" w:hAnsi="SimHei" w:cs="SimHei"/>
          <w:color w:val="000000"/>
          <w:spacing w:val="1"/>
          <w:sz w:val="30"/>
        </w:rPr>
        <w:t>第十三条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11"/>
          <w:sz w:val="30"/>
        </w:rPr>
        <w:t>专业机构根据核定的概算组织项目预算申报和评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估，提出项目安排建议和重点专项中央财政资金预算安排建议，项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目安排建议按程序报科技部，预算安排建议按照预算申报程序报财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政部。无部门预算申报渠道的专业机构，通过科技部报送。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第十四条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科技部对项目安排建议进行合规性审核。财政部结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合科技部意见，按照预算管理要求向专业机构下达重点专项中央财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7"/>
          <w:sz w:val="30"/>
        </w:rPr>
        <w:t>政资金预算（不含具体项目预算），并抄送科技部。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第十五条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重点专项中央财政资金预算一般不予调剂，因概算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变化等确需调剂的，由专业机构提出申请，按程序报财政部批准。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第十六条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在重点专项实施周期内，由于年度任务调整等导致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专业机构当年未下达给项目牵头承担单位的资金，可以结转下一年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度继续使用。由于重点专项因故中止等原因，专业机构尚未下达给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项目牵头承担单位的资金，按规定上缴中央财政。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2509" w:right="0" w:firstLine="0"/>
        <w:jc w:val="left"/>
        <w:rPr>
          <w:rFonts w:ascii="SimHei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第三章</w:t>
      </w:r>
      <w:r>
        <w:rPr>
          <w:rFonts w:ascii="SimHei"/>
          <w:color w:val="000000"/>
          <w:spacing w:val="150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项目资金开支范围</w:t>
      </w:r>
      <w:r>
        <w:rPr>
          <w:rFonts w:ascii="SimHei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第十七条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重点专项项目资金由直接费用和间接费用组成。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第十八条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11"/>
          <w:sz w:val="30"/>
        </w:rPr>
        <w:t>直接费用是指在项目实施过程中发生的与之直接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相关的费用。主要包括：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（一）设备费：是指在项目实施过程中购置或试制专用仪器设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备，对现有仪器设备进行升级改造，以及租赁外单位仪器设备而发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生的费用。应当严格控制设备购置，鼓励开放共享、自主研制、租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8"/>
          <w:sz w:val="30"/>
        </w:rPr>
        <w:t>赁专用仪器设备以及对现有仪器设备进行升级改造，避免重复购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置。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（二）材料费：是指在项目实施过程中消耗的各种原材料、辅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助材料等低值易耗品的采购及运输、装卸、整理等费用。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45" w:after="0" w:line="209" w:lineRule="exact"/>
        <w:ind w:left="4264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4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462" w:right="100" w:bottom="0" w:left="16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5" w:id="br5"/>
      </w:r>
      <w:r>
        <w:bookmarkEnd w:id="br5"/>
      </w:r>
      <w:r>
        <w:rPr>
          <w:rFonts w:ascii="FangSong" w:hAnsi="FangSong" w:cs="FangSong"/>
          <w:color w:val="000000"/>
          <w:spacing w:val="-3"/>
          <w:sz w:val="30"/>
        </w:rPr>
        <w:t>（三）测试化验加工费：是指在项目实施过程中支付给外单位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（包括承担单位内部独立经济核算单位）的检验、测试、化验及加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工等费用。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（四）燃料动力费：是指在项目实施过程中直接使用的相关仪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器设备、科学装置等运行发生的水、电、气、燃料消耗费用等。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2"/>
          <w:sz w:val="30"/>
        </w:rPr>
        <w:t>（五）出版/文献/信息传播/知识产权事务费：是指在项目实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施过程中，需要支付的出版费、资料费、专用软件购买费、文献检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索费、专业通信费、专利申请及其他知识产权事务等费用。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（六）会议/差旅/国际合作交流费：是指在项目实施过程中发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生的会议费、差旅费和国际合作交流费。在编制预算时，本科目支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出预算不超过直接费用预算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10%的，不需要编制测算依据。承担单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位和科研人员应当按照实事求是、精简高效、厉行节约的原则，严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格执行国家和单位的有关规定，统筹安排使用。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（七）劳务费：是指在项目实施过程中支付给参与项目的研究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生、博士后、访问学者以及项目聘用的研究人员、科研辅助人员等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的劳务性费用。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项目聘用人员的劳务费开支标准，参照当地科学研究和技术服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务业从业人员平均工资水平，根据其在项目研究中承担的工作任务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确定，其社会保险补助纳入劳务费科目开支。劳务费预算应据实编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制，不设比例限制。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（八）专家咨询费：是指在项目实施过程中支付给临时聘请的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咨询专家的费用。专家咨询费不得支付给参与本项目及所属课题研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究和管理的相关工作人员。专家咨询费的管理按照国家有关规定执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行。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45" w:after="0" w:line="209" w:lineRule="exact"/>
        <w:ind w:left="4264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5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6" w:id="br6"/>
      </w:r>
      <w:r>
        <w:bookmarkEnd w:id="br6"/>
      </w:r>
      <w:r>
        <w:rPr>
          <w:rFonts w:ascii="FangSong" w:hAnsi="FangSong" w:cs="FangSong"/>
          <w:color w:val="000000"/>
          <w:spacing w:val="-3"/>
          <w:sz w:val="30"/>
        </w:rPr>
        <w:t>（九）其他支出：是指在项目实施过程中除上述支出范围之外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的其他相关支出。其他支出应当在申请预算时详细说明。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第十九条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11"/>
          <w:sz w:val="30"/>
        </w:rPr>
        <w:t>间接费用是指承担单位在组织实施项目过程中发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生的无法在直接费用中列支的相关费用。主要包括：承担单位为项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目研究提供的房屋占用，日常水、电、气、暖消耗，有关管理费用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的补助支出，以及激励科研人员的绩效支出等。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第二十条</w:t>
      </w:r>
      <w:r>
        <w:rPr>
          <w:rFonts w:ascii="SimHei"/>
          <w:color w:val="000000"/>
          <w:spacing w:val="62"/>
          <w:sz w:val="30"/>
        </w:rPr>
        <w:t xml:space="preserve"> </w:t>
      </w:r>
      <w:r>
        <w:rPr>
          <w:rFonts w:ascii="FangSong" w:hAnsi="FangSong" w:cs="FangSong"/>
          <w:color w:val="000000"/>
          <w:spacing w:val="2"/>
          <w:sz w:val="30"/>
        </w:rPr>
        <w:t>结合承担单位信用情况，间接费用实行总额控制，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按照不超过课题直接费用扣除设备购置费后的一定比例核定。具体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比例如下：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（一）500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万元及以下部分为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20%；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（二）超过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/>
          <w:color w:val="000000"/>
          <w:spacing w:val="0"/>
          <w:sz w:val="30"/>
        </w:rPr>
        <w:t>500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万元至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/>
          <w:color w:val="000000"/>
          <w:spacing w:val="0"/>
          <w:sz w:val="30"/>
        </w:rPr>
        <w:t>1000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万元的部分为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15%；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（三）超过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/>
          <w:color w:val="000000"/>
          <w:spacing w:val="0"/>
          <w:sz w:val="30"/>
        </w:rPr>
        <w:t>1000</w:t>
      </w:r>
      <w:r>
        <w:rPr>
          <w:rFonts w:ascii="FangSong"/>
          <w:color w:val="000000"/>
          <w:spacing w:val="-74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万元以上的部分为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13%。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第二十一条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间接费用由承担单位统筹安排使用。承担单位应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当建立健全间接费用的内部管理办法，公开透明、合规合理使用间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接费用，处理好分摊间接成本和对科研人员激励的关系。绩效支出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安排应当与科研人员在项目工作中的实际贡献挂钩。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课题中有多个单位的，间接费用在总额范围内由课题承担单位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与参与单位协商分配。承担单位不得在核定的间接费用以外，再以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任何名义在项目资金中重复提取、列支相关费用。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392" w:after="0" w:line="310" w:lineRule="exact"/>
        <w:ind w:left="2434" w:right="0" w:firstLine="0"/>
        <w:jc w:val="left"/>
        <w:rPr>
          <w:rFonts w:ascii="SimHei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第四章</w:t>
      </w:r>
      <w:r>
        <w:rPr>
          <w:rFonts w:ascii="SimHei"/>
          <w:color w:val="000000"/>
          <w:spacing w:val="0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项目预算编制与审批</w:t>
      </w:r>
      <w:r>
        <w:rPr>
          <w:rFonts w:ascii="SimHei"/>
          <w:color w:val="000000"/>
          <w:spacing w:val="0"/>
          <w:sz w:val="30"/>
        </w:rPr>
      </w:r>
    </w:p>
    <w:p>
      <w:pPr>
        <w:pStyle w:val="Normal"/>
        <w:spacing w:before="195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第二十二条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重点专项项目预算由收入预算与支出预算构成。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项目预算由课题预算汇总形成。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（一）收入预算包括中央财政资金和其他来源资金。对于其他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来源资金，应充分考虑各渠道的情况，并提供资金提供方的出资承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04" w:after="0" w:line="209" w:lineRule="exact"/>
        <w:ind w:left="4264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6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7" w:id="br7"/>
      </w:r>
      <w:r>
        <w:bookmarkEnd w:id="br7"/>
      </w:r>
      <w:r>
        <w:rPr>
          <w:rFonts w:ascii="FangSong" w:hAnsi="FangSong" w:cs="FangSong"/>
          <w:color w:val="000000"/>
          <w:spacing w:val="-3"/>
          <w:sz w:val="30"/>
        </w:rPr>
        <w:t>诺，不得使用货币资金之外的资产或其他中央财政资金作为资金来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源。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9"/>
          <w:sz w:val="30"/>
        </w:rPr>
        <w:t>（二）支出预算应当按照资金开支范围确定的支出科目和不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同资金来源分别编列，并对各项支出的主要用途和测算理由等进行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详细说明。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第二十三条</w:t>
      </w:r>
      <w:r>
        <w:rPr>
          <w:rFonts w:ascii="SimHei"/>
          <w:color w:val="000000"/>
          <w:spacing w:val="177"/>
          <w:sz w:val="30"/>
        </w:rPr>
        <w:t xml:space="preserve"> </w:t>
      </w:r>
      <w:r>
        <w:rPr>
          <w:rFonts w:ascii="FangSong" w:hAnsi="FangSong" w:cs="FangSong"/>
          <w:color w:val="000000"/>
          <w:spacing w:val="12"/>
          <w:sz w:val="30"/>
        </w:rPr>
        <w:t>重点专项项目不得在预算申报前先行设置控制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额度，可在重点专项年度申报指南中公布重点专项概算。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项目实行两轮申报的，预申报环节时，项目申报单位提出所需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专项资金预算总额；正式申报环节时，专业机构综合考虑重点专项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概算、项目任务设置、预申报情况以及专家建议等，组织项目申报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单位编报预算。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项目实行一轮申报的，按照正式申报环节要求组织编报预算。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第二十四条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项目申报单位应当按照政策相符性、目标相关性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和经济合理性原则，科学、合理、真实地编制预算，对仪器设备购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置、参与单位资质及拟外拨资金进行重点说明，并申明现有的实施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条件和从单位外部可能获得的共享服务。项目申报单位对直接费用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各项支出不得简单按比例编列。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第二十五条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专业机构委托相关机构开展项目预算评估。预算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评估机构应当具有丰富的国家科技计划预算评估工作经验、熟悉国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8"/>
          <w:sz w:val="30"/>
        </w:rPr>
        <w:t>家科技计划和资金管理政策、建立了相关领域的科技专家队伍支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撑、拥有专业的预算评估人才队伍等。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第二十六条</w:t>
      </w:r>
      <w:r>
        <w:rPr>
          <w:rFonts w:ascii="SimHei"/>
          <w:color w:val="000000"/>
          <w:spacing w:val="177"/>
          <w:sz w:val="30"/>
        </w:rPr>
        <w:t xml:space="preserve"> </w:t>
      </w:r>
      <w:r>
        <w:rPr>
          <w:rFonts w:ascii="FangSong" w:hAnsi="FangSong" w:cs="FangSong"/>
          <w:color w:val="000000"/>
          <w:spacing w:val="12"/>
          <w:sz w:val="30"/>
        </w:rPr>
        <w:t>预算评估应当按照规范的程序和要求，坚持独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立、客观、公正、科学的原则，对项目以及课题申报预算的政策相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符性、目标相关性和经济合理性进行评估。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45" w:after="0" w:line="209" w:lineRule="exact"/>
        <w:ind w:left="4264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7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8" w:id="br8"/>
      </w:r>
      <w:r>
        <w:bookmarkEnd w:id="br8"/>
      </w:r>
      <w:r>
        <w:rPr>
          <w:rFonts w:ascii="FangSong" w:hAnsi="FangSong" w:cs="FangSong"/>
          <w:color w:val="000000"/>
          <w:spacing w:val="-3"/>
          <w:sz w:val="30"/>
        </w:rPr>
        <w:t>预算评估过程中不得简单按比例核减直接费用预算，同时应当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建立健全与项目申报单位的沟通反馈机制。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第二十七条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专业机构根据预算评估结果，提出重点专项项目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预算安排建议，并予以公示。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第二十八条</w:t>
      </w:r>
      <w:r>
        <w:rPr>
          <w:rFonts w:ascii="SimHei"/>
          <w:color w:val="000000"/>
          <w:spacing w:val="177"/>
          <w:sz w:val="30"/>
        </w:rPr>
        <w:t xml:space="preserve"> </w:t>
      </w:r>
      <w:r>
        <w:rPr>
          <w:rFonts w:ascii="FangSong" w:hAnsi="FangSong" w:cs="FangSong"/>
          <w:color w:val="000000"/>
          <w:spacing w:val="12"/>
          <w:sz w:val="30"/>
        </w:rPr>
        <w:t>专业机构根据财政部下达的重点专项预算和科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技部对项目安排建议的审核意见，向项目牵头承担单位下达重点专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5"/>
          <w:sz w:val="30"/>
        </w:rPr>
        <w:t>项项目预算，并与项目牵头承担单位签订项目任务书（含预算）。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项目任务书（含预算）是项目和课题预算执行、财务验收和监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8"/>
          <w:sz w:val="30"/>
        </w:rPr>
        <w:t>督检查的依据。项目任务书（含预算）应以项目预算申报书为基础，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突出绩效管理，明确项目考核目标、考核指标及考核方法，明晰各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方责权，明确课题承担单位和参与单位的资金额度，包括其他来源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资金和其他配套条件等。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393" w:after="0" w:line="310" w:lineRule="exact"/>
        <w:ind w:left="2687" w:right="0" w:firstLine="0"/>
        <w:jc w:val="left"/>
        <w:rPr>
          <w:rFonts w:ascii="SimHei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第五章</w:t>
      </w:r>
      <w:r>
        <w:rPr>
          <w:rFonts w:ascii="SimHei"/>
          <w:color w:val="000000"/>
          <w:spacing w:val="150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项目预算执行与调剂</w:t>
      </w:r>
      <w:r>
        <w:rPr>
          <w:rFonts w:ascii="SimHei"/>
          <w:color w:val="000000"/>
          <w:spacing w:val="0"/>
          <w:sz w:val="30"/>
        </w:rPr>
      </w:r>
    </w:p>
    <w:p>
      <w:pPr>
        <w:pStyle w:val="Normal"/>
        <w:spacing w:before="195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第二十九条</w:t>
      </w:r>
      <w:r>
        <w:rPr>
          <w:rFonts w:ascii="SimHei"/>
          <w:color w:val="000000"/>
          <w:spacing w:val="177"/>
          <w:sz w:val="30"/>
        </w:rPr>
        <w:t xml:space="preserve"> </w:t>
      </w:r>
      <w:r>
        <w:rPr>
          <w:rFonts w:ascii="FangSong" w:hAnsi="FangSong" w:cs="FangSong"/>
          <w:color w:val="000000"/>
          <w:spacing w:val="3"/>
          <w:sz w:val="30"/>
        </w:rPr>
        <w:t>专业机构应当按照国库集中支付制度规定,及时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办理向项目牵头承担单位支付年度项目资金的有关手续。实行部门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预算批复前项目资金预拨制度。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项目牵头承担单位应当根据课题研究进度和资金使用情况，及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时向课题承担单位拨付资金。课题承担单位应当按照研究进度，及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时向课题参与单位拨付资金。课题参与单位不得再向外转拨资金。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逐级转拨资金时，项目牵头承担单位或课题承担单位不得无故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拖延资金拨付，对于出现上述情况的单位，专业机构将采取约谈、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暂停项目后续拨款等措施。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第三十条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11"/>
          <w:sz w:val="30"/>
        </w:rPr>
        <w:t>承担单位应当严格执行国家有关财经法规和财务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制度，切实履行法人责任，建立健全项目资金内部管理制度和报销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04" w:after="0" w:line="209" w:lineRule="exact"/>
        <w:ind w:left="4264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8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9" w:id="br9"/>
      </w:r>
      <w:r>
        <w:bookmarkEnd w:id="br9"/>
      </w:r>
      <w:r>
        <w:rPr>
          <w:rFonts w:ascii="FangSong" w:hAnsi="FangSong" w:cs="FangSong"/>
          <w:color w:val="000000"/>
          <w:spacing w:val="2"/>
          <w:sz w:val="30"/>
        </w:rPr>
        <w:t>规定，明确内部管理权限和审批程序,完善内控机制建设，强化资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SimHei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金使用绩效评价，确保资金使用安全规范有效</w:t>
      </w:r>
      <w:r>
        <w:rPr>
          <w:rFonts w:ascii="SimHei" w:hAnsi="SimHei" w:cs="SimHei"/>
          <w:color w:val="000000"/>
          <w:spacing w:val="0"/>
          <w:sz w:val="30"/>
        </w:rPr>
        <w:t>。</w:t>
      </w:r>
      <w:r>
        <w:rPr>
          <w:rFonts w:ascii="SimHei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4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第三十一条</w:t>
      </w:r>
      <w:r>
        <w:rPr>
          <w:rFonts w:ascii="SimHei"/>
          <w:color w:val="000000"/>
          <w:spacing w:val="180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承担单位应当建立健全科研财务助理制度，为科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研人员在项目预算编制和调剂、资金支出、财务决算和验收方面提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供专业化服务。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4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第三十二条</w:t>
      </w:r>
      <w:r>
        <w:rPr>
          <w:rFonts w:ascii="SimHei"/>
          <w:color w:val="000000"/>
          <w:spacing w:val="180"/>
          <w:sz w:val="30"/>
        </w:rPr>
        <w:t xml:space="preserve"> </w:t>
      </w:r>
      <w:r>
        <w:rPr>
          <w:rFonts w:ascii="FangSong" w:hAnsi="FangSong" w:cs="FangSong"/>
          <w:color w:val="000000"/>
          <w:spacing w:val="12"/>
          <w:sz w:val="30"/>
        </w:rPr>
        <w:t>承担单位应当将项目资金纳入单位财务统一管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理，对中央财政资金和其他来源的资金分别单独核算，确保专款专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用。按照承诺保证其他来源的资金及时足额到位。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4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第三十三条</w:t>
      </w:r>
      <w:r>
        <w:rPr>
          <w:rFonts w:ascii="SimHei"/>
          <w:color w:val="000000"/>
          <w:spacing w:val="180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承担单位应当建立信息公开制度，在单位内部公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开项目立项、主要研究人员、资金使用（重点是间接费用、外拨资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金、结余资金使用等）、大型仪器设备购置以及项目研究成果等情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况，接受内部监督。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4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第三十四条</w:t>
      </w:r>
      <w:r>
        <w:rPr>
          <w:rFonts w:ascii="SimHei"/>
          <w:color w:val="000000"/>
          <w:spacing w:val="180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承担单位应当严格执行国家有关支出管理制度。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对应当实行“公务卡”结算的支出，按照中央财政科研项目使用公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务卡结算的有关规定执行。对于设备费、大宗材料费和测试化验加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8"/>
          <w:sz w:val="30"/>
        </w:rPr>
        <w:t>工费、劳务费、专家咨询费等，原则上应当通过银行转账方式结算。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对野外考察、心理测试等科研活动中无法取得发票或者财政性票据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的，在确保真实性的前提下，可按实际发生额予以报销。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第三十五条</w:t>
      </w:r>
      <w:r>
        <w:rPr>
          <w:rFonts w:ascii="SimHei"/>
          <w:color w:val="000000"/>
          <w:spacing w:val="177"/>
          <w:sz w:val="30"/>
        </w:rPr>
        <w:t xml:space="preserve"> </w:t>
      </w:r>
      <w:r>
        <w:rPr>
          <w:rFonts w:ascii="FangSong" w:hAnsi="FangSong" w:cs="FangSong"/>
          <w:color w:val="000000"/>
          <w:spacing w:val="12"/>
          <w:sz w:val="30"/>
        </w:rPr>
        <w:t>承担单位应当严格按照资金开支范围和标准办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理支出，不得擅自调整外拨资金，不得利用虚假票据套取资金，不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得通过编造虚假劳务合同、虚构人员名单等方式虚报冒领劳务费和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专家咨询费，不得通过虚构测试化验内容、提高测试化验支出标准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等方式违规开支测试化验加工费，不得随意调账变动支出、随意修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2"/>
          <w:sz w:val="30"/>
        </w:rPr>
        <w:t>改记账凭证,严禁以任何方式使用项目资金列支应当由个人负担的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45" w:after="0" w:line="209" w:lineRule="exact"/>
        <w:ind w:left="4264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9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10" w:id="br10"/>
      </w:r>
      <w:r>
        <w:bookmarkEnd w:id="br10"/>
      </w:r>
      <w:r>
        <w:rPr>
          <w:rFonts w:ascii="FangSong" w:hAnsi="FangSong" w:cs="FangSong"/>
          <w:color w:val="000000"/>
          <w:spacing w:val="0"/>
          <w:sz w:val="30"/>
        </w:rPr>
        <w:t>有关费用和支付各种罚款、捐款、赞助、投资等。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第三十六条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承担单位应当按照下达的预算执行。项目在研期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间，年度剩余资金结转下一年度继续使用。预算确有必要调剂时，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应当按照以下调剂范围和权限，履行相关程序：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42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4"/>
          <w:sz w:val="30"/>
        </w:rPr>
        <w:t>（一）项目预算总额调剂，项目预算总额不变、课题间预算调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剂，课题预算总额不变、课题参与单位之间预算调剂以及增减参与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单位的，由项目牵头承担单位或课题承担单位逐级向专业机构提出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申请，专业机构审核评估后，按有关规定批准。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（二）课题预算总额不变，课题直接费用中材料费、测试化验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2"/>
          <w:sz w:val="30"/>
        </w:rPr>
        <w:t>加工费、燃料动力费、出版/文献/信息传播/知识产权事务费、其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他支出预算如需调剂，课题负责人根据实施过程中科研活动的实际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需要提出申请，由课题承担单位批准，报项目牵头承担单位备案。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设备费、差旅/会议/国际合作交流费、劳务费、专家咨询费的预算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一般不予调增，需调减用于课题其他直接支出的，可按上述程序办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理调剂审批手续；如有特殊情况确需调增的，由项目（课题）负责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人提出申请，经项目牵头承担单位同意后，报专业机构批准。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（三）课题间接费用预算总额不得调增，经课题承担单位与课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题负责人协商一致后，可以调减用于直接费用。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第三十七条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项目牵头承担单位应当在每年的</w:t>
      </w:r>
      <w:r>
        <w:rPr>
          <w:rFonts w:ascii="FangSong"/>
          <w:color w:val="000000"/>
          <w:spacing w:val="-58"/>
          <w:sz w:val="30"/>
        </w:rPr>
        <w:t xml:space="preserve"> </w:t>
      </w:r>
      <w:r>
        <w:rPr>
          <w:rFonts w:ascii="FangSong"/>
          <w:color w:val="000000"/>
          <w:spacing w:val="0"/>
          <w:sz w:val="30"/>
        </w:rPr>
        <w:t>4</w:t>
      </w:r>
      <w:r>
        <w:rPr>
          <w:rFonts w:ascii="FangSong"/>
          <w:color w:val="000000"/>
          <w:spacing w:val="-58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月</w:t>
      </w:r>
      <w:r>
        <w:rPr>
          <w:rFonts w:ascii="FangSong"/>
          <w:color w:val="000000"/>
          <w:spacing w:val="-58"/>
          <w:sz w:val="30"/>
        </w:rPr>
        <w:t xml:space="preserve"> </w:t>
      </w:r>
      <w:r>
        <w:rPr>
          <w:rFonts w:ascii="FangSong"/>
          <w:color w:val="000000"/>
          <w:spacing w:val="0"/>
          <w:sz w:val="30"/>
        </w:rPr>
        <w:t>20</w:t>
      </w:r>
      <w:r>
        <w:rPr>
          <w:rFonts w:ascii="FangSong"/>
          <w:color w:val="000000"/>
          <w:spacing w:val="-58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日前，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审核课题上年度收支情况，汇总形成项目年度财务决算报告，并报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送专业机构。决算报告应当真实、完整，账表一致。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项目资金下达之日起至年度终了不满三个月的项目，当年可以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不编报年度财务决算，其资金使用情况在下一年度的年度决算报告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中编制反映。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45" w:after="0" w:line="209" w:lineRule="exact"/>
        <w:ind w:left="4219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10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11" w:id="br11"/>
      </w:r>
      <w:r>
        <w:bookmarkEnd w:id="br11"/>
      </w:r>
      <w:r>
        <w:rPr>
          <w:noProof w:val="on"/>
        </w:rPr>
        <w:pict>
          <v:shape xmlns:v="urn:schemas-microsoft-com:vml" id="_x00000" style="position:absolute;margin-left:111.2pt;margin-top:684.55pt;z-index:-3;width:202.7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1.2pt;margin-top:713.8pt;z-index:-7;width:122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11.2pt;margin-top:742.95pt;z-index:-11;width:402.9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SimHei" w:hAnsi="SimHei" w:cs="SimHei"/>
          <w:color w:val="000000"/>
          <w:spacing w:val="1"/>
          <w:sz w:val="30"/>
        </w:rPr>
        <w:t>第三十八条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项目实施过程中，行政事业单位使用中央财政资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金形成的固定资产属于国有资产，应当按照国家有关国有资产管理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的规定执行。企业使用中央财政资金形成的固定资产，按照《企业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财务通则》等相关规章制度执行。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9"/>
          <w:sz w:val="30"/>
        </w:rPr>
        <w:t>承担单位使用中央财政资金形成的知识产权等无形资产的管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理，按照国家有关规定执行。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使用中央财政资金形成的大型科学仪器设备、科学数据、自然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科技资源等，按照规定开放共享。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第三十九条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项目或课题因故撤销或终止，项目牵头承担单位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或课题承担单位财务部门应当及时清理账目与资产，编制财务报告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及资产清单，报送专业机构。专业机构组织清查处理，确认并回收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结余资金（含处理已购物资、材料及仪器设备的变价收入），统筹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用于重点专项后续支出。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392" w:after="0" w:line="310" w:lineRule="exact"/>
        <w:ind w:left="2837" w:right="0" w:firstLine="0"/>
        <w:jc w:val="left"/>
        <w:rPr>
          <w:rFonts w:ascii="SimHei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第六章</w:t>
      </w:r>
      <w:r>
        <w:rPr>
          <w:rFonts w:ascii="SimHei"/>
          <w:color w:val="000000"/>
          <w:spacing w:val="150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项目财务验收</w:t>
      </w:r>
      <w:r>
        <w:rPr>
          <w:rFonts w:ascii="SimHei"/>
          <w:color w:val="000000"/>
          <w:spacing w:val="0"/>
          <w:sz w:val="30"/>
        </w:rPr>
      </w:r>
    </w:p>
    <w:p>
      <w:pPr>
        <w:pStyle w:val="Normal"/>
        <w:spacing w:before="195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第四十条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项目执行期满后，项目牵头承担单位应当及时组织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课题承担单位清理账目与资产，如实编制课题资金决算。项目牵头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承担单位审核汇总后向专业机构提出财务验收申请。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3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财务验收申请应当在项目执行期满后的三个月内提出。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第四十一条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专业机构按照有关规定组织财务验收。财务验收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前，应当选择符合要求的会计师事务所进行财务审计，财务审计报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告是财务验收的重要依据。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9"/>
          <w:sz w:val="30"/>
        </w:rPr>
        <w:t>财务验收工作应当在项目牵头承担单位提出财务验收申请后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的六个月内完成。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在财务验收前，专业机构应按照项目任务书的规定检查承担单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04" w:after="0" w:line="209" w:lineRule="exact"/>
        <w:ind w:left="4222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-7"/>
          <w:sz w:val="18"/>
        </w:rPr>
        <w:t>11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462" w:right="100" w:bottom="0" w:left="16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12" w:id="br12"/>
      </w:r>
      <w:r>
        <w:bookmarkEnd w:id="br12"/>
      </w:r>
      <w:r>
        <w:rPr>
          <w:noProof w:val="on"/>
        </w:rPr>
        <w:pict>
          <v:shape xmlns:v="urn:schemas-microsoft-com:vml" id="_x00003" style="position:absolute;margin-left:81.2pt;margin-top:69.8pt;z-index:-15;width:432.9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86.2pt;margin-top:98.95pt;z-index:-19;width:327.9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1.2pt;margin-top:128.1pt;z-index:-23;width:432.9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1.2pt;margin-top:157.35pt;z-index:-27;width:152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1.2pt;margin-top:740.9pt;z-index:-31;width:102.9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FangSong" w:hAnsi="FangSong" w:cs="FangSong"/>
          <w:color w:val="000000"/>
          <w:spacing w:val="-8"/>
          <w:sz w:val="30"/>
        </w:rPr>
        <w:t>位的科技报告呈交情况，未按规定呈交的，应责令其补交科技报告。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第四十二条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财务验收应当按项目组织，以项目下设的课题为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单元开展和出具财务验收结论，综合形成项目财务验收意见，并告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知项目牵头承担单位。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SimHei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第四十三条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存在下列行为之一的，不得通过财务验收</w:t>
      </w:r>
      <w:r>
        <w:rPr>
          <w:rFonts w:ascii="SimHei" w:hAnsi="SimHei" w:cs="SimHei"/>
          <w:color w:val="000000"/>
          <w:spacing w:val="0"/>
          <w:sz w:val="30"/>
        </w:rPr>
        <w:t>：</w:t>
      </w:r>
      <w:r>
        <w:rPr>
          <w:rFonts w:ascii="SimHei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（一）编报虚假预算，套取国家财政资金；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（二）未对重点研发计划资金进行单独核算；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（三）截留、挤占、挪用重点研发计划资金；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（四）违反规定转拨、转移重点研发计划资金；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（五）提供虚假财务会计资料；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（六）未按规定执行和调剂预算；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（七）虚假承诺其他来源的资金；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（八）资金管理使用存在违规问题拒不整改；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（九）其他违反国家财经纪律的行为。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4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第四十四条</w:t>
      </w:r>
      <w:r>
        <w:rPr>
          <w:rFonts w:ascii="SimHei"/>
          <w:color w:val="000000"/>
          <w:spacing w:val="180"/>
          <w:sz w:val="30"/>
        </w:rPr>
        <w:t xml:space="preserve"> </w:t>
      </w:r>
      <w:r>
        <w:rPr>
          <w:rFonts w:ascii="FangSong" w:hAnsi="FangSong" w:cs="FangSong"/>
          <w:color w:val="000000"/>
          <w:spacing w:val="12"/>
          <w:sz w:val="30"/>
        </w:rPr>
        <w:t>课题承担单位应当在财务验收完成后一个月之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内及时办理财务结账手续。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4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10"/>
          <w:sz w:val="30"/>
        </w:rPr>
        <w:t>完成课题任务目标并通过财务验收，且承担单位信用评价好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的，结余资金在财务验收完成起两年内由承担单位统筹安排用于科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研活动的直接支出；两年后结余资金未使用完的，上缴专业机构，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统筹用于重点专项后续支出。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未通过财务验收或整改后通过财务验收的课题，或承担单位信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用评价差的，结余资金由专业机构收回，统筹用于重点专项后续支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出。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第四十五条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专业机构应当在财务验收完成后一个月内，将财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45" w:after="0" w:line="209" w:lineRule="exact"/>
        <w:ind w:left="4219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12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13" w:id="br13"/>
      </w:r>
      <w:r>
        <w:bookmarkEnd w:id="br13"/>
      </w:r>
      <w:r>
        <w:rPr>
          <w:noProof w:val="on"/>
        </w:rPr>
        <w:pict>
          <v:shape xmlns:v="urn:schemas-microsoft-com:vml" id="_x00008" style="position:absolute;margin-left:81.2pt;margin-top:69.8pt;z-index:-35;width:77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186.2pt;margin-top:69.8pt;z-index:-39;width:327.9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81.2pt;margin-top:98.95pt;z-index:-43;width:167pt;height:21.5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FangSong" w:hAnsi="FangSong" w:cs="FangSong"/>
          <w:color w:val="000000"/>
          <w:spacing w:val="-3"/>
          <w:sz w:val="30"/>
        </w:rPr>
        <w:t>务验收相关材料整理归档，并将验收结论报科技部备案。验收结论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应当按规定向社会公开。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第四十六条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科技部对财务审计和财务验收进行随机抽查。对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财务审计，重点抽查审计依据充分性、结论可靠性、审计工作质量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及对重大违规问题的披露情况；对财务验收，重点抽查验收程序规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范性、依据充分性、结论可靠性和项目结余资金管理情况。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393" w:after="0" w:line="310" w:lineRule="exact"/>
        <w:ind w:left="3132" w:right="0" w:firstLine="0"/>
        <w:jc w:val="left"/>
        <w:rPr>
          <w:rFonts w:ascii="SimHei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第七章</w:t>
      </w:r>
      <w:r>
        <w:rPr>
          <w:rFonts w:ascii="SimHei"/>
          <w:color w:val="000000"/>
          <w:spacing w:val="152"/>
          <w:sz w:val="30"/>
        </w:rPr>
        <w:t xml:space="preserve"> </w:t>
      </w:r>
      <w:r>
        <w:rPr>
          <w:rFonts w:ascii="SimHei" w:hAnsi="SimHei" w:cs="SimHei"/>
          <w:color w:val="000000"/>
          <w:spacing w:val="1"/>
          <w:sz w:val="30"/>
        </w:rPr>
        <w:t>监督检查</w:t>
      </w:r>
      <w:r>
        <w:rPr>
          <w:rFonts w:ascii="SimHei"/>
          <w:color w:val="000000"/>
          <w:spacing w:val="0"/>
          <w:sz w:val="30"/>
        </w:rPr>
      </w:r>
    </w:p>
    <w:p>
      <w:pPr>
        <w:pStyle w:val="Normal"/>
        <w:spacing w:before="195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第四十七条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财政部、科技部、相关主管部门、专业机构和承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担单位应当根据职责和分工，建立覆盖资金管理使用全过程的资金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监督检查机制。监督检查应当加强统筹协调，加强信息共享，避免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交叉重复。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第四十八条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科技部、财政部应当根据重点研发计划资金监督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检查年度计划和实施方案，通过专项检查、专项审计、年度报告分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析、举报核查、绩效评价等方式，对专业机构内部管理、重点专项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资金管理使用规范性和有效性进行监督检查，对承担单位法人责任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和内部控制、项目资金拨付的及时性、项目资金管理使用规范性、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安全性和有效性等进行抽查。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第四十九条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相关主管部门应当督促所属承担单位加强内控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制度和监督制约机制建设、落实重点专项项目资金管理责任，配合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财政部、科技部开展监督检查和整改工作。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第五十条</w:t>
      </w:r>
      <w:r>
        <w:rPr>
          <w:rFonts w:ascii="SimHei"/>
          <w:color w:val="000000"/>
          <w:spacing w:val="178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专业机构应当组织开展对重点专项资金的管理和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监督，并配合有关部门开展监督检查；对监督检查中发现问题较多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的承担单位，采取警示、指导和培训等方式，加强对承担单位的事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前风险预警和防控。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04" w:after="0" w:line="209" w:lineRule="exact"/>
        <w:ind w:left="4219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13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1462" w:right="100" w:bottom="0" w:left="16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14" w:id="br14"/>
      </w:r>
      <w:r>
        <w:bookmarkEnd w:id="br14"/>
      </w:r>
      <w:r>
        <w:rPr>
          <w:rFonts w:ascii="FangSong" w:hAnsi="FangSong" w:cs="FangSong"/>
          <w:color w:val="000000"/>
          <w:spacing w:val="9"/>
          <w:sz w:val="30"/>
        </w:rPr>
        <w:t>专业机构应当在每年末总结当年的重点专项资金管理和监督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情况，并报科技部备案。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第五十一条</w:t>
      </w:r>
      <w:r>
        <w:rPr>
          <w:rFonts w:ascii="SimHei"/>
          <w:color w:val="000000"/>
          <w:spacing w:val="177"/>
          <w:sz w:val="30"/>
        </w:rPr>
        <w:t xml:space="preserve"> </w:t>
      </w:r>
      <w:r>
        <w:rPr>
          <w:rFonts w:ascii="FangSong" w:hAnsi="FangSong" w:cs="FangSong"/>
          <w:color w:val="000000"/>
          <w:spacing w:val="12"/>
          <w:sz w:val="30"/>
        </w:rPr>
        <w:t>承担单位应当按照本办法和国家相关财经法规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及财务管理规定，完善内部控制和监督制约机制，加强支撑服务条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8"/>
          <w:sz w:val="30"/>
        </w:rPr>
        <w:t>件建设，提高对科研人员的服务水平，建立常态化的自查自纠机制，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保证项目资金安全。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项目牵头承担单位应当加强对课题承担单位的指导和监督，积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极配合有关部门和机构的监督检查工作。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4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第五十二条</w:t>
      </w:r>
      <w:r>
        <w:rPr>
          <w:rFonts w:ascii="SimHei"/>
          <w:color w:val="000000"/>
          <w:spacing w:val="180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承担单位在预算编报、资金拨付、资金管理和使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用、财务验收、监督检查等环节存在违规行为的，应当严肃处理。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科技部、财政部、专业机构视情况轻重采取约谈、通报批评、暂停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项目拨款、终止项目执行、追回已拨资金、阶段性或永久取消项目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承担者项目申报资格等措施，并将有关结果向社会公开。涉嫌犯罪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的，移送司法机关处理。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监督检查和验收过程中发现重要疑点和线索需要深入核查的，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科技部、财政部可以移交相关单位的主管部门。主管部门应当按照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有关规定和要求及时进行核查，并将核查结果及处理意见反馈科技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部、财政部。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第五十三条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-4"/>
          <w:sz w:val="30"/>
        </w:rPr>
        <w:t>经本办法第五十二条规定作出正式处理，存在违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规违纪和违法且造成严重后果或恶劣影响的责任主体，纳入科研严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重失信行为记录，加强与其他社会信用体系衔接，实施联合惩戒。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第五十四条</w:t>
      </w:r>
      <w:r>
        <w:rPr>
          <w:rFonts w:ascii="SimHei"/>
          <w:color w:val="000000"/>
          <w:spacing w:val="172"/>
          <w:sz w:val="30"/>
        </w:rPr>
        <w:t xml:space="preserve"> </w:t>
      </w:r>
      <w:r>
        <w:rPr>
          <w:rFonts w:ascii="FangSong" w:hAnsi="FangSong" w:cs="FangSong"/>
          <w:color w:val="000000"/>
          <w:spacing w:val="10"/>
          <w:sz w:val="30"/>
        </w:rPr>
        <w:t>重点研发计划资金管理实行责任倒查和追究制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8"/>
          <w:sz w:val="30"/>
        </w:rPr>
        <w:t>度。财政部、科技部及其相关工作人员在重点专项概预算审核下达，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专业机构及其相关工作人员在重点专项项目资金分配等环节，存在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445" w:after="0" w:line="209" w:lineRule="exact"/>
        <w:ind w:left="4219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14</w:t>
      </w:r>
      <w:r>
        <w:rPr>
          <w:rFonts w:ascii="LEGIVA+TimesNewRomanPSMT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bookmarkStart w:name="br15" w:id="br15"/>
      </w:r>
      <w:r>
        <w:bookmarkEnd w:id="br15"/>
      </w:r>
      <w:r>
        <w:rPr>
          <w:rFonts w:ascii="FangSong" w:hAnsi="FangSong" w:cs="FangSong"/>
          <w:color w:val="000000"/>
          <w:spacing w:val="-3"/>
          <w:sz w:val="30"/>
        </w:rPr>
        <w:t>违反规定安排资金或其他滥用职权、玩忽职守、徇私舞弊等违法违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1"/>
          <w:sz w:val="30"/>
        </w:rPr>
        <w:t>纪行为的，按照《预算法》、《公务员法》、《行政监察法》、《财政违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法行为处罚处分条例》等有关规定追究相关单位和人员的责任，涉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嫌犯罪的，移送司法机关处理。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4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第五十五条</w:t>
      </w:r>
      <w:r>
        <w:rPr>
          <w:rFonts w:ascii="SimHei"/>
          <w:color w:val="000000"/>
          <w:spacing w:val="208"/>
          <w:sz w:val="30"/>
        </w:rPr>
        <w:t xml:space="preserve"> </w:t>
      </w:r>
      <w:r>
        <w:rPr>
          <w:rFonts w:ascii="FangSong" w:hAnsi="FangSong" w:cs="FangSong"/>
          <w:color w:val="000000"/>
          <w:spacing w:val="-5"/>
          <w:sz w:val="30"/>
        </w:rPr>
        <w:t>科技部、财政部按照信用管理相关规定，对专业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8"/>
          <w:sz w:val="30"/>
        </w:rPr>
        <w:t>机构、承担单位、项目（课题）负责人、评估机构、会计师事务所、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咨询评审专家等参与资金管理使用的行为进行记录和信用评价。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60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相关信用记录是重点研发计划项目预算核定、结余资金管理、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监督检查、专业机构遴选和调整等的重要依据。信用记录与资金监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督频次挂钩，对于信用好的机构和人员，可减少或在一定时期内免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除监督检查；对于信用差的，应当作为监督检查的重点，加大监督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检查频次。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393" w:after="0" w:line="310" w:lineRule="exact"/>
        <w:ind w:left="3437" w:right="0" w:firstLine="0"/>
        <w:jc w:val="left"/>
        <w:rPr>
          <w:rFonts w:ascii="SimHei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第八章</w:t>
      </w:r>
      <w:r>
        <w:rPr>
          <w:rFonts w:ascii="SimHei"/>
          <w:color w:val="000000"/>
          <w:spacing w:val="150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附则</w:t>
      </w:r>
      <w:r>
        <w:rPr>
          <w:rFonts w:ascii="SimHei"/>
          <w:color w:val="000000"/>
          <w:spacing w:val="0"/>
          <w:sz w:val="30"/>
        </w:rPr>
      </w:r>
    </w:p>
    <w:p>
      <w:pPr>
        <w:pStyle w:val="Normal"/>
        <w:spacing w:before="195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第五十六条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管理要求另有规定的重点专项按有关规定执行。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568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"/>
          <w:sz w:val="30"/>
        </w:rPr>
        <w:t>第五十七条</w:t>
      </w:r>
      <w:r>
        <w:rPr>
          <w:rFonts w:ascii="SimHei"/>
          <w:color w:val="000000"/>
          <w:spacing w:val="1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本办法自发布之日起施行。2015</w:t>
      </w:r>
      <w:r>
        <w:rPr>
          <w:rFonts w:ascii="FangSong"/>
          <w:color w:val="000000"/>
          <w:spacing w:val="-47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年</w:t>
      </w:r>
      <w:r>
        <w:rPr>
          <w:rFonts w:ascii="FangSong"/>
          <w:color w:val="000000"/>
          <w:spacing w:val="-47"/>
          <w:sz w:val="30"/>
        </w:rPr>
        <w:t xml:space="preserve"> </w:t>
      </w:r>
      <w:r>
        <w:rPr>
          <w:rFonts w:ascii="FangSong"/>
          <w:color w:val="000000"/>
          <w:spacing w:val="0"/>
          <w:sz w:val="30"/>
        </w:rPr>
        <w:t>7</w:t>
      </w:r>
      <w:r>
        <w:rPr>
          <w:rFonts w:ascii="FangSong"/>
          <w:color w:val="000000"/>
          <w:spacing w:val="-47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月</w:t>
      </w:r>
      <w:r>
        <w:rPr>
          <w:rFonts w:ascii="FangSong"/>
          <w:color w:val="000000"/>
          <w:spacing w:val="-47"/>
          <w:sz w:val="30"/>
        </w:rPr>
        <w:t xml:space="preserve"> </w:t>
      </w:r>
      <w:r>
        <w:rPr>
          <w:rFonts w:ascii="FangSong"/>
          <w:color w:val="000000"/>
          <w:spacing w:val="0"/>
          <w:sz w:val="30"/>
        </w:rPr>
        <w:t>7</w:t>
      </w:r>
      <w:r>
        <w:rPr>
          <w:rFonts w:ascii="FangSong"/>
          <w:color w:val="000000"/>
          <w:spacing w:val="-47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日财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政部、科技部颁布的《关于中央财政科技计划管理改革过渡期资金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7"/>
          <w:sz w:val="30"/>
        </w:rPr>
        <w:t>管理有关问题的通知》（财教〔2015〕154</w:t>
      </w:r>
      <w:r>
        <w:rPr>
          <w:rFonts w:ascii="FangSong"/>
          <w:color w:val="000000"/>
          <w:spacing w:val="-32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号）和</w:t>
      </w:r>
      <w:r>
        <w:rPr>
          <w:rFonts w:ascii="FangSong"/>
          <w:color w:val="000000"/>
          <w:spacing w:val="-38"/>
          <w:sz w:val="30"/>
        </w:rPr>
        <w:t xml:space="preserve"> </w:t>
      </w:r>
      <w:r>
        <w:rPr>
          <w:rFonts w:ascii="FangSong"/>
          <w:color w:val="000000"/>
          <w:spacing w:val="0"/>
          <w:sz w:val="30"/>
        </w:rPr>
        <w:t>2016</w:t>
      </w:r>
      <w:r>
        <w:rPr>
          <w:rFonts w:ascii="FangSong"/>
          <w:color w:val="000000"/>
          <w:spacing w:val="-38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年</w:t>
      </w:r>
      <w:r>
        <w:rPr>
          <w:rFonts w:ascii="FangSong"/>
          <w:color w:val="000000"/>
          <w:spacing w:val="-38"/>
          <w:sz w:val="30"/>
        </w:rPr>
        <w:t xml:space="preserve"> </w:t>
      </w:r>
      <w:r>
        <w:rPr>
          <w:rFonts w:ascii="FangSong"/>
          <w:color w:val="000000"/>
          <w:spacing w:val="0"/>
          <w:sz w:val="30"/>
        </w:rPr>
        <w:t>4</w:t>
      </w:r>
      <w:r>
        <w:rPr>
          <w:rFonts w:ascii="FangSong"/>
          <w:color w:val="000000"/>
          <w:spacing w:val="-40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月</w:t>
      </w:r>
      <w:r>
        <w:rPr>
          <w:rFonts w:ascii="FangSong"/>
          <w:color w:val="000000"/>
          <w:spacing w:val="-38"/>
          <w:sz w:val="30"/>
        </w:rPr>
        <w:t xml:space="preserve"> </w:t>
      </w:r>
      <w:r>
        <w:rPr>
          <w:rFonts w:ascii="FangSong"/>
          <w:color w:val="000000"/>
          <w:spacing w:val="0"/>
          <w:sz w:val="30"/>
        </w:rPr>
        <w:t>18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3"/>
          <w:sz w:val="30"/>
        </w:rPr>
        <w:t>日财政部办公厅、科技部办公厅颁布的《关于国家重点研发计划重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-10"/>
          <w:sz w:val="30"/>
        </w:rPr>
        <w:t>点专项预算管理有关规定（试行）的通知》（财办教〔2016〕25</w:t>
      </w:r>
      <w:r>
        <w:rPr>
          <w:rFonts w:ascii="FangSong"/>
          <w:color w:val="000000"/>
          <w:spacing w:val="-76"/>
          <w:sz w:val="30"/>
        </w:rPr>
        <w:t xml:space="preserve"> </w:t>
      </w:r>
      <w:r>
        <w:rPr>
          <w:rFonts w:ascii="FangSong" w:hAnsi="FangSong" w:cs="FangSong"/>
          <w:color w:val="000000"/>
          <w:spacing w:val="0"/>
          <w:sz w:val="30"/>
        </w:rPr>
        <w:t>号）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4" w:after="0" w:line="310" w:lineRule="exact"/>
        <w:ind w:left="0" w:right="0" w:firstLine="0"/>
        <w:jc w:val="left"/>
        <w:rPr>
          <w:rFonts w:ascii="FangSong"/>
          <w:color w:val="000000"/>
          <w:spacing w:val="0"/>
          <w:sz w:val="30"/>
        </w:rPr>
      </w:pPr>
      <w:r>
        <w:rPr>
          <w:rFonts w:ascii="FangSong" w:hAnsi="FangSong" w:cs="FangSong"/>
          <w:color w:val="000000"/>
          <w:spacing w:val="0"/>
          <w:sz w:val="30"/>
        </w:rPr>
        <w:t>同时废止。</w:t>
      </w:r>
      <w:r>
        <w:rPr>
          <w:rFonts w:ascii="FangSong"/>
          <w:color w:val="000000"/>
          <w:spacing w:val="0"/>
          <w:sz w:val="30"/>
        </w:rPr>
      </w:r>
    </w:p>
    <w:p>
      <w:pPr>
        <w:pStyle w:val="Normal"/>
        <w:spacing w:before="2738" w:after="0" w:line="209" w:lineRule="exact"/>
        <w:ind w:left="4219" w:right="0" w:firstLine="0"/>
        <w:jc w:val="left"/>
        <w:rPr>
          <w:rFonts w:ascii="LEGIVA+TimesNewRomanPSMT"/>
          <w:color w:val="000000"/>
          <w:spacing w:val="0"/>
          <w:sz w:val="18"/>
        </w:rPr>
      </w:pPr>
      <w:r>
        <w:rPr>
          <w:rFonts w:ascii="LEGIVA+TimesNewRomanPSMT"/>
          <w:color w:val="000000"/>
          <w:spacing w:val="0"/>
          <w:sz w:val="18"/>
        </w:rPr>
        <w:t>15</w:t>
      </w:r>
      <w:r>
        <w:rPr>
          <w:rFonts w:ascii="LEGIVA+TimesNewRomanPSMT"/>
          <w:color w:val="000000"/>
          <w:spacing w:val="0"/>
          <w:sz w:val="18"/>
        </w:rPr>
      </w:r>
    </w:p>
    <w:sectPr>
      <w:pgSz w:w="11900" w:h="16840"/>
      <w:pgMar w:top="1462" w:right="100" w:bottom="0" w:left="1644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charset w:val="cc"/>
    <w:family w:val="roman"/>
    <w:notTrueType w:val="off"/>
    <w:pitch w:val="variable"/>
    <w:sig w:usb0="01010101" w:usb1="01010101" w:usb2="01010101" w:usb3="01010101" w:csb0="01010101" w:csb1="01010101"/>
  </w:font>
  <w:font w:name="SimHei">
    <w:charset w:val="01"/>
    <w:family w:val="auto"/>
    <w:notTrueType w:val="on"/>
    <w:pitch w:val="default"/>
    <w:sig w:usb0="01010101" w:usb1="01010101" w:usb2="01010101" w:usb3="01010101" w:csb0="01010101" w:csb1="01010101"/>
  </w:font>
  <w:font w:name="FangSong">
    <w:charset w:val="01"/>
    <w:family w:val="auto"/>
    <w:notTrueType w:val="on"/>
    <w:pitch w:val="default"/>
    <w:sig w:usb0="01010101" w:usb1="01010101" w:usb2="01010101" w:usb3="01010101" w:csb0="01010101" w:csb1="01010101"/>
  </w:font>
  <w:font w:name="LEGIVA+TimesNewRomanPSMT">
    <w:charset w:val="01"/>
    <w:family w:val="roma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75BDD0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styles" Target="styles.xml" /><Relationship Id="rId13" Type="http://schemas.openxmlformats.org/officeDocument/2006/relationships/fontTable" Target="fontTable.xml" /><Relationship Id="rId14" Type="http://schemas.openxmlformats.org/officeDocument/2006/relationships/settings" Target="settings.xml" /><Relationship Id="rId15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15</Pages>
  <Words>467</Words>
  <Characters>8503</Characters>
  <Application>Aspose</Application>
  <DocSecurity>0</DocSecurity>
  <Lines>0</Lines>
  <Paragraphs>369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8599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mqq</dc:creator>
  <lastModifiedBy>mqq</lastModifiedBy>
  <revision>1</revision>
  <dcterms:created xmlns:xsi="http://www.w3.org/2001/XMLSchema-instance" xmlns:dcterms="http://purl.org/dc/terms/" xsi:type="dcterms:W3CDTF">2022-05-25T23:57:38+08:00</dcterms:created>
  <dcterms:modified xmlns:xsi="http://www.w3.org/2001/XMLSchema-instance" xmlns:dcterms="http://purl.org/dc/terms/" xsi:type="dcterms:W3CDTF">2022-05-25T23:57:38+08:00</dcterms:modified>
</coreProperties>
</file>