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5G设备</w:t>
      </w:r>
    </w:p>
    <w:p>
      <w:pPr>
        <w:pStyle w:val="3"/>
        <w:numPr>
          <w:ilvl w:val="0"/>
          <w:numId w:val="1"/>
        </w:numPr>
        <w:bidi w:val="0"/>
        <w:ind w:left="0" w:leftChars="0" w:firstLine="42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Toc99786816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BBU</w:t>
      </w:r>
      <w:bookmarkEnd w:id="0"/>
    </w:p>
    <w:p>
      <w:pPr>
        <w:bidi w:val="0"/>
        <w:spacing w:line="360" w:lineRule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BBU，作为基站的基带处理单元（Base band Unit），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instrText xml:space="preserve"> HYPERLINK "https://baike.baidu.com/item/RRU/8476736" \t "_blank" </w:instrTex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RRU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（射频拉远模块）和BBU（基带处理单元）之间需要用光纤连接。一个BBU可以支持多个RRU。采用BBU+RRU多通道方案,可以很好地解决室内与室外的覆盖问题。</w:t>
      </w:r>
    </w:p>
    <w:p>
      <w:pPr>
        <w:bidi w:val="0"/>
        <w:jc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2159635" cy="990600"/>
            <wp:effectExtent l="0" t="0" r="2540" b="0"/>
            <wp:docPr id="21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990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1"/>
        </w:numPr>
        <w:bidi w:val="0"/>
        <w:ind w:left="0" w:leftChars="0" w:firstLine="420" w:firstLineChars="0"/>
        <w:rPr>
          <w:rFonts w:hint="eastAsia" w:ascii="宋体" w:hAnsi="宋体" w:eastAsia="宋体" w:cs="宋体"/>
          <w:sz w:val="24"/>
          <w:szCs w:val="24"/>
        </w:rPr>
      </w:pPr>
      <w:bookmarkStart w:id="1" w:name="_Toc99786818"/>
      <w:bookmarkStart w:id="2" w:name="_Toc99635655"/>
      <w:r>
        <w:rPr>
          <w:rFonts w:hint="eastAsia" w:ascii="宋体" w:hAnsi="宋体" w:eastAsia="宋体" w:cs="宋体"/>
          <w:sz w:val="24"/>
          <w:szCs w:val="24"/>
        </w:rPr>
        <w:t>RRU (4.9G 4T4R)</w:t>
      </w:r>
      <w:bookmarkEnd w:id="1"/>
      <w:bookmarkEnd w:id="2"/>
    </w:p>
    <w:p>
      <w:pPr>
        <w:widowControl/>
        <w:spacing w:after="312" w:afterLines="100" w:line="360" w:lineRule="auto"/>
        <w:ind w:firstLine="420" w:firstLineChars="200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在5G扩展型皮基站架构中，RRU为无线拉远单元。它主要的功能包括如下：</w:t>
      </w:r>
    </w:p>
    <w:p>
      <w:pPr>
        <w:pStyle w:val="8"/>
        <w:widowControl/>
        <w:numPr>
          <w:ilvl w:val="0"/>
          <w:numId w:val="2"/>
        </w:numPr>
        <w:spacing w:after="312" w:afterLines="100"/>
        <w:ind w:firstLineChars="0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支持option8.0/7.2</w:t>
      </w:r>
      <w:r>
        <w:rPr>
          <w:rFonts w:hint="eastAsia" w:ascii="宋体" w:hAnsi="宋体" w:eastAsia="宋体" w:cs="宋体"/>
          <w:kern w:val="0"/>
          <w:sz w:val="21"/>
          <w:szCs w:val="21"/>
        </w:rPr>
        <w:t>切分</w:t>
      </w:r>
    </w:p>
    <w:p>
      <w:pPr>
        <w:pStyle w:val="8"/>
        <w:widowControl/>
        <w:numPr>
          <w:ilvl w:val="0"/>
          <w:numId w:val="2"/>
        </w:numPr>
        <w:spacing w:after="312" w:afterLines="100"/>
        <w:ind w:firstLineChars="0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支持通过CPRI</w:t>
      </w:r>
      <w:r>
        <w:rPr>
          <w:rFonts w:hint="eastAsia" w:ascii="宋体" w:hAnsi="宋体" w:eastAsia="宋体" w:cs="宋体"/>
          <w:kern w:val="0"/>
          <w:sz w:val="21"/>
          <w:szCs w:val="21"/>
        </w:rPr>
        <w:t>或eCPRI</w:t>
      </w:r>
      <w:r>
        <w:rPr>
          <w:rFonts w:hint="eastAsia" w:ascii="宋体" w:hAnsi="宋体" w:eastAsia="宋体" w:cs="宋体"/>
          <w:kern w:val="0"/>
          <w:sz w:val="21"/>
          <w:szCs w:val="21"/>
        </w:rPr>
        <w:t>接口与不同厂家的BBU</w:t>
      </w:r>
      <w:r>
        <w:rPr>
          <w:rFonts w:hint="eastAsia" w:ascii="宋体" w:hAnsi="宋体" w:eastAsia="宋体" w:cs="宋体"/>
          <w:kern w:val="0"/>
          <w:sz w:val="21"/>
          <w:szCs w:val="21"/>
        </w:rPr>
        <w:t>或前传交换机设备对接组网</w:t>
      </w:r>
    </w:p>
    <w:p>
      <w:pPr>
        <w:pStyle w:val="8"/>
        <w:widowControl/>
        <w:numPr>
          <w:ilvl w:val="0"/>
          <w:numId w:val="2"/>
        </w:numPr>
        <w:spacing w:after="312" w:afterLines="100"/>
        <w:ind w:firstLineChars="0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单载波支持4*250mW</w:t>
      </w:r>
      <w:r>
        <w:rPr>
          <w:rFonts w:hint="eastAsia" w:ascii="宋体" w:hAnsi="宋体" w:eastAsia="宋体" w:cs="宋体"/>
          <w:kern w:val="0"/>
          <w:sz w:val="21"/>
          <w:szCs w:val="21"/>
        </w:rPr>
        <w:t>输出功率，最大支持100MHz</w:t>
      </w:r>
      <w:r>
        <w:rPr>
          <w:rFonts w:hint="eastAsia" w:ascii="宋体" w:hAnsi="宋体" w:eastAsia="宋体" w:cs="宋体"/>
          <w:kern w:val="0"/>
          <w:sz w:val="21"/>
          <w:szCs w:val="21"/>
        </w:rPr>
        <w:t>带宽，256QAM</w:t>
      </w:r>
      <w:r>
        <w:rPr>
          <w:rFonts w:hint="eastAsia" w:ascii="宋体" w:hAnsi="宋体" w:eastAsia="宋体" w:cs="宋体"/>
          <w:kern w:val="0"/>
          <w:sz w:val="21"/>
          <w:szCs w:val="21"/>
        </w:rPr>
        <w:t>，4T4R</w:t>
      </w:r>
    </w:p>
    <w:p>
      <w:pPr>
        <w:pStyle w:val="8"/>
        <w:widowControl/>
        <w:numPr>
          <w:ilvl w:val="0"/>
          <w:numId w:val="2"/>
        </w:numPr>
        <w:spacing w:after="312" w:afterLines="100"/>
        <w:ind w:firstLineChars="0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整机采用轻量化、低功耗环保设计，并且满足电信级可靠性</w:t>
      </w:r>
    </w:p>
    <w:p>
      <w:pPr>
        <w:pStyle w:val="8"/>
        <w:widowControl/>
        <w:numPr>
          <w:ilvl w:val="0"/>
          <w:numId w:val="2"/>
        </w:numPr>
        <w:spacing w:after="312" w:afterLines="100"/>
        <w:ind w:firstLineChars="0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支持POE</w:t>
      </w:r>
      <w:r>
        <w:rPr>
          <w:rFonts w:hint="eastAsia" w:ascii="宋体" w:hAnsi="宋体" w:eastAsia="宋体" w:cs="宋体"/>
          <w:kern w:val="0"/>
          <w:sz w:val="21"/>
          <w:szCs w:val="21"/>
        </w:rPr>
        <w:t>供电，支持光电复合缆远程供电，支持即插即用，降低工程难度</w:t>
      </w:r>
    </w:p>
    <w:p>
      <w:pPr>
        <w:pStyle w:val="8"/>
        <w:widowControl/>
        <w:numPr>
          <w:ilvl w:val="0"/>
          <w:numId w:val="2"/>
        </w:numPr>
        <w:spacing w:after="312" w:afterLines="100"/>
        <w:ind w:firstLineChars="0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满足电信级运维管理，支持通过网管集中管理、配置、监控以及软件升级</w:t>
      </w:r>
    </w:p>
    <w:p>
      <w:pPr>
        <w:jc w:val="center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3964940" cy="2733040"/>
            <wp:effectExtent l="0" t="0" r="0" b="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5354" cy="2733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after="312" w:afterLines="100" w:line="360" w:lineRule="auto"/>
        <w:ind w:firstLine="420" w:firstLineChars="200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RRU主要包含以下特性：</w:t>
      </w:r>
    </w:p>
    <w:tbl>
      <w:tblPr>
        <w:tblStyle w:val="5"/>
        <w:tblW w:w="4870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2367"/>
        <w:gridCol w:w="1638"/>
        <w:gridCol w:w="29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5000" w:type="pct"/>
            <w:gridSpan w:val="4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射频规格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83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支持频段</w:t>
            </w:r>
          </w:p>
        </w:tc>
        <w:tc>
          <w:tcPr>
            <w:tcW w:w="142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4800-4900 MHz</w:t>
            </w:r>
          </w:p>
        </w:tc>
        <w:tc>
          <w:tcPr>
            <w:tcW w:w="98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发射功率</w:t>
            </w:r>
          </w:p>
        </w:tc>
        <w:tc>
          <w:tcPr>
            <w:tcW w:w="17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4x250mW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2x250mW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3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信道带宽</w:t>
            </w:r>
          </w:p>
        </w:tc>
        <w:tc>
          <w:tcPr>
            <w:tcW w:w="142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60MHz、80MHz、100MHz</w:t>
            </w:r>
          </w:p>
        </w:tc>
        <w:tc>
          <w:tcPr>
            <w:tcW w:w="98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发射功率精度</w:t>
            </w:r>
          </w:p>
        </w:tc>
        <w:tc>
          <w:tcPr>
            <w:tcW w:w="17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±2dB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通道数</w:t>
            </w:r>
          </w:p>
        </w:tc>
        <w:tc>
          <w:tcPr>
            <w:tcW w:w="142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2T2R/4T4R</w:t>
            </w:r>
          </w:p>
        </w:tc>
        <w:tc>
          <w:tcPr>
            <w:tcW w:w="98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ACLR</w:t>
            </w:r>
          </w:p>
        </w:tc>
        <w:tc>
          <w:tcPr>
            <w:tcW w:w="17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≤45dBc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ACS</w:t>
            </w:r>
          </w:p>
        </w:tc>
        <w:tc>
          <w:tcPr>
            <w:tcW w:w="142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≤-88dBm</w:t>
            </w:r>
          </w:p>
        </w:tc>
        <w:tc>
          <w:tcPr>
            <w:tcW w:w="98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ICS</w:t>
            </w:r>
          </w:p>
        </w:tc>
        <w:tc>
          <w:tcPr>
            <w:tcW w:w="17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≤-88dBm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7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调制方式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(上行)</w:t>
            </w:r>
          </w:p>
        </w:tc>
        <w:tc>
          <w:tcPr>
            <w:tcW w:w="142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π/2-BPSK、QPSK、16QAM、64QAM</w:t>
            </w:r>
          </w:p>
        </w:tc>
        <w:tc>
          <w:tcPr>
            <w:tcW w:w="987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调制方式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(下行)</w:t>
            </w:r>
          </w:p>
        </w:tc>
        <w:tc>
          <w:tcPr>
            <w:tcW w:w="1751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QPSK、16QAM、64QAM、256QAM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7" w:type="pct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6" w:type="pct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7" w:type="pct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1" w:type="pct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3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射频功率配置</w:t>
            </w:r>
          </w:p>
        </w:tc>
        <w:tc>
          <w:tcPr>
            <w:tcW w:w="142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支持每个通道独立配置</w:t>
            </w:r>
          </w:p>
        </w:tc>
        <w:tc>
          <w:tcPr>
            <w:tcW w:w="98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发射功率回退</w:t>
            </w:r>
          </w:p>
        </w:tc>
        <w:tc>
          <w:tcPr>
            <w:tcW w:w="17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发射功率降低&gt;10dB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7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灵敏度</w:t>
            </w:r>
          </w:p>
        </w:tc>
        <w:tc>
          <w:tcPr>
            <w:tcW w:w="142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≤-94.9dBm/通道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（G-FR1-A1-5）</w:t>
            </w:r>
          </w:p>
        </w:tc>
        <w:tc>
          <w:tcPr>
            <w:tcW w:w="987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EVM</w:t>
            </w:r>
          </w:p>
        </w:tc>
        <w:tc>
          <w:tcPr>
            <w:tcW w:w="17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QAM≤5%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7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6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7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16QAM≤5%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7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6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7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64QAM≤5%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37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6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7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256QAM≤3.5%</w:t>
            </w:r>
          </w:p>
        </w:tc>
      </w:tr>
    </w:tbl>
    <w:p>
      <w:pPr>
        <w:rPr>
          <w:rFonts w:hint="eastAsia" w:ascii="宋体" w:hAnsi="宋体" w:eastAsia="宋体" w:cs="宋体"/>
          <w:kern w:val="0"/>
          <w:sz w:val="21"/>
          <w:szCs w:val="21"/>
        </w:rPr>
      </w:pPr>
    </w:p>
    <w:tbl>
      <w:tblPr>
        <w:tblStyle w:val="5"/>
        <w:tblW w:w="4870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3"/>
        <w:gridCol w:w="2292"/>
        <w:gridCol w:w="1693"/>
        <w:gridCol w:w="20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5000" w:type="pct"/>
            <w:gridSpan w:val="4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设备接口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720" w:type="pct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drawing>
                <wp:inline distT="0" distB="0" distL="0" distR="0">
                  <wp:extent cx="2727960" cy="1622425"/>
                  <wp:effectExtent l="0" t="0" r="0" b="0"/>
                  <wp:docPr id="10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4945" cy="1638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天线</w:t>
            </w:r>
          </w:p>
        </w:tc>
        <w:tc>
          <w:tcPr>
            <w:tcW w:w="126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4xSMA 外置天线/ 内置天线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720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电源</w:t>
            </w:r>
          </w:p>
        </w:tc>
        <w:tc>
          <w:tcPr>
            <w:tcW w:w="126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1xDC-48V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720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OPT</w:t>
            </w:r>
          </w:p>
        </w:tc>
        <w:tc>
          <w:tcPr>
            <w:tcW w:w="126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1x10Gbps SFP 光口,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支持CPRI/ eCPRI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720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POE</w:t>
            </w:r>
          </w:p>
        </w:tc>
        <w:tc>
          <w:tcPr>
            <w:tcW w:w="126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1XRJ45接口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720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DEBUG</w:t>
            </w:r>
          </w:p>
        </w:tc>
        <w:tc>
          <w:tcPr>
            <w:tcW w:w="126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1XRJ45 接口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720" w:type="pct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物理规格</w:t>
            </w:r>
          </w:p>
        </w:tc>
        <w:tc>
          <w:tcPr>
            <w:tcW w:w="2280" w:type="pct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可靠性及环境适应性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9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尺寸及重量</w:t>
            </w:r>
          </w:p>
        </w:tc>
        <w:tc>
          <w:tcPr>
            <w:tcW w:w="1381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尺寸: 200mm*200mm*60mm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重量≤2.5Kg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防护等级</w:t>
            </w:r>
          </w:p>
        </w:tc>
        <w:tc>
          <w:tcPr>
            <w:tcW w:w="1260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IP31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9" w:type="pct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1" w:type="pct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0" w:type="pct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0" w:type="pct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3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安装方式</w:t>
            </w:r>
          </w:p>
        </w:tc>
        <w:tc>
          <w:tcPr>
            <w:tcW w:w="13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支持挂壁、吸顶安装</w:t>
            </w:r>
          </w:p>
        </w:tc>
        <w:tc>
          <w:tcPr>
            <w:tcW w:w="102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温湿度要求</w:t>
            </w:r>
          </w:p>
        </w:tc>
        <w:tc>
          <w:tcPr>
            <w:tcW w:w="126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工作温度: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-5℃~55℃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工作湿度: 5%~95%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3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散热方式</w:t>
            </w:r>
          </w:p>
        </w:tc>
        <w:tc>
          <w:tcPr>
            <w:tcW w:w="13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自然散热</w:t>
            </w:r>
          </w:p>
        </w:tc>
        <w:tc>
          <w:tcPr>
            <w:tcW w:w="102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大气压力要求</w:t>
            </w:r>
          </w:p>
        </w:tc>
        <w:tc>
          <w:tcPr>
            <w:tcW w:w="126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70Kpa~106Kpa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供电方式</w:t>
            </w:r>
          </w:p>
        </w:tc>
        <w:tc>
          <w:tcPr>
            <w:tcW w:w="13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支持POE供电/支持光电复合缆</w:t>
            </w:r>
          </w:p>
        </w:tc>
        <w:tc>
          <w:tcPr>
            <w:tcW w:w="102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在位检测</w:t>
            </w:r>
          </w:p>
        </w:tc>
        <w:tc>
          <w:tcPr>
            <w:tcW w:w="126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支持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3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整机功耗</w:t>
            </w:r>
          </w:p>
        </w:tc>
        <w:tc>
          <w:tcPr>
            <w:tcW w:w="13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2T2R≤30W；4T4R≤40W</w:t>
            </w:r>
          </w:p>
        </w:tc>
        <w:tc>
          <w:tcPr>
            <w:tcW w:w="102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掉电告警</w:t>
            </w:r>
          </w:p>
        </w:tc>
        <w:tc>
          <w:tcPr>
            <w:tcW w:w="126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支持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指示灯</w:t>
            </w:r>
          </w:p>
        </w:tc>
        <w:tc>
          <w:tcPr>
            <w:tcW w:w="13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1个电源指示灯</w:t>
            </w:r>
          </w:p>
        </w:tc>
        <w:tc>
          <w:tcPr>
            <w:tcW w:w="102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操作维护</w:t>
            </w:r>
          </w:p>
        </w:tc>
        <w:tc>
          <w:tcPr>
            <w:tcW w:w="126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支持本地和远程维护及软件升级</w:t>
            </w:r>
          </w:p>
        </w:tc>
      </w:tr>
    </w:tbl>
    <w:p>
      <w:pPr>
        <w:pStyle w:val="3"/>
        <w:numPr>
          <w:ilvl w:val="0"/>
          <w:numId w:val="1"/>
        </w:numPr>
        <w:bidi w:val="0"/>
        <w:ind w:left="0" w:leftChars="0" w:firstLine="420" w:firstLineChars="0"/>
        <w:rPr>
          <w:rFonts w:ascii="宋体" w:hAnsi="宋体" w:eastAsia="宋体" w:cs="宋体"/>
          <w:b/>
          <w:kern w:val="0"/>
          <w:sz w:val="24"/>
          <w:szCs w:val="24"/>
        </w:rPr>
      </w:pPr>
      <w:r>
        <w:rPr>
          <w:rFonts w:ascii="宋体" w:hAnsi="宋体" w:eastAsia="宋体" w:cs="宋体"/>
          <w:b/>
          <w:kern w:val="0"/>
          <w:sz w:val="24"/>
          <w:szCs w:val="24"/>
        </w:rPr>
        <w:t>5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G前传加速卡</w:t>
      </w:r>
    </w:p>
    <w:p>
      <w:pPr>
        <w:widowControl/>
        <w:spacing w:after="312" w:afterLines="100" w:line="360" w:lineRule="auto"/>
        <w:ind w:firstLine="420" w:firstLineChars="200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</w:rPr>
        <w:t>5</w:t>
      </w:r>
      <w:r>
        <w:rPr>
          <w:rFonts w:hint="eastAsia" w:ascii="宋体" w:hAnsi="宋体" w:eastAsia="宋体" w:cs="宋体"/>
          <w:kern w:val="0"/>
          <w:sz w:val="21"/>
          <w:szCs w:val="21"/>
        </w:rPr>
        <w:t>G前传加速卡，采用标准PCIe</w:t>
      </w:r>
      <w:r>
        <w:rPr>
          <w:rFonts w:ascii="宋体" w:hAnsi="宋体" w:eastAsia="宋体" w:cs="宋体"/>
          <w:kern w:val="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kern w:val="0"/>
          <w:sz w:val="21"/>
          <w:szCs w:val="21"/>
        </w:rPr>
        <w:t>gen</w:t>
      </w:r>
      <w:r>
        <w:rPr>
          <w:rFonts w:ascii="宋体" w:hAnsi="宋体" w:eastAsia="宋体" w:cs="宋体"/>
          <w:kern w:val="0"/>
          <w:sz w:val="21"/>
          <w:szCs w:val="21"/>
        </w:rPr>
        <w:t>3</w:t>
      </w:r>
      <w:r>
        <w:rPr>
          <w:rFonts w:hint="eastAsia" w:ascii="宋体" w:hAnsi="宋体" w:eastAsia="宋体" w:cs="宋体"/>
          <w:kern w:val="0"/>
          <w:sz w:val="21"/>
          <w:szCs w:val="21"/>
        </w:rPr>
        <w:t>x</w:t>
      </w:r>
      <w:r>
        <w:rPr>
          <w:rFonts w:ascii="宋体" w:hAnsi="宋体" w:eastAsia="宋体" w:cs="宋体"/>
          <w:kern w:val="0"/>
          <w:sz w:val="21"/>
          <w:szCs w:val="21"/>
        </w:rPr>
        <w:t>8/gen3x16</w:t>
      </w:r>
      <w:r>
        <w:rPr>
          <w:rFonts w:hint="eastAsia" w:ascii="宋体" w:hAnsi="宋体" w:eastAsia="宋体" w:cs="宋体"/>
          <w:kern w:val="0"/>
          <w:sz w:val="21"/>
          <w:szCs w:val="21"/>
        </w:rPr>
        <w:t>接口连接DU服务器，实现算法加速和高速数据传输功能。同时，前传加速卡提供4个1</w:t>
      </w:r>
      <w:r>
        <w:rPr>
          <w:rFonts w:ascii="宋体" w:hAnsi="宋体" w:eastAsia="宋体" w:cs="宋体"/>
          <w:kern w:val="0"/>
          <w:sz w:val="21"/>
          <w:szCs w:val="21"/>
        </w:rPr>
        <w:t>0</w:t>
      </w:r>
      <w:r>
        <w:rPr>
          <w:rFonts w:hint="eastAsia" w:ascii="宋体" w:hAnsi="宋体" w:eastAsia="宋体" w:cs="宋体"/>
          <w:kern w:val="0"/>
          <w:sz w:val="21"/>
          <w:szCs w:val="21"/>
        </w:rPr>
        <w:t>G</w:t>
      </w:r>
      <w:r>
        <w:rPr>
          <w:rFonts w:ascii="宋体" w:hAnsi="宋体" w:eastAsia="宋体" w:cs="宋体"/>
          <w:kern w:val="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kern w:val="0"/>
          <w:sz w:val="21"/>
          <w:szCs w:val="21"/>
        </w:rPr>
        <w:t>SFP</w:t>
      </w:r>
      <w:r>
        <w:rPr>
          <w:rFonts w:ascii="宋体" w:hAnsi="宋体" w:eastAsia="宋体" w:cs="宋体"/>
          <w:kern w:val="0"/>
          <w:sz w:val="21"/>
          <w:szCs w:val="21"/>
        </w:rPr>
        <w:t>+/25G SFP28</w:t>
      </w:r>
      <w:r>
        <w:rPr>
          <w:rFonts w:hint="eastAsia" w:ascii="宋体" w:hAnsi="宋体" w:eastAsia="宋体" w:cs="宋体"/>
          <w:kern w:val="0"/>
          <w:sz w:val="21"/>
          <w:szCs w:val="21"/>
        </w:rPr>
        <w:t>接口，支持业界先进的C</w:t>
      </w:r>
      <w:r>
        <w:rPr>
          <w:rFonts w:ascii="宋体" w:hAnsi="宋体" w:eastAsia="宋体" w:cs="宋体"/>
          <w:kern w:val="0"/>
          <w:sz w:val="21"/>
          <w:szCs w:val="21"/>
        </w:rPr>
        <w:t>PRI/</w:t>
      </w:r>
      <w:r>
        <w:rPr>
          <w:rFonts w:hint="eastAsia" w:ascii="宋体" w:hAnsi="宋体" w:eastAsia="宋体" w:cs="宋体"/>
          <w:kern w:val="0"/>
          <w:sz w:val="21"/>
          <w:szCs w:val="21"/>
        </w:rPr>
        <w:t>eCPRI接口。该卡还具备1</w:t>
      </w:r>
      <w:r>
        <w:rPr>
          <w:rFonts w:ascii="宋体" w:hAnsi="宋体" w:eastAsia="宋体" w:cs="宋体"/>
          <w:kern w:val="0"/>
          <w:sz w:val="21"/>
          <w:szCs w:val="21"/>
        </w:rPr>
        <w:t>588</w:t>
      </w:r>
      <w:r>
        <w:rPr>
          <w:rFonts w:hint="eastAsia" w:ascii="宋体" w:hAnsi="宋体" w:eastAsia="宋体" w:cs="宋体"/>
          <w:kern w:val="0"/>
          <w:sz w:val="21"/>
          <w:szCs w:val="21"/>
        </w:rPr>
        <w:t>v</w:t>
      </w:r>
      <w:r>
        <w:rPr>
          <w:rFonts w:ascii="宋体" w:hAnsi="宋体" w:eastAsia="宋体" w:cs="宋体"/>
          <w:kern w:val="0"/>
          <w:sz w:val="21"/>
          <w:szCs w:val="21"/>
        </w:rPr>
        <w:t>2+</w:t>
      </w:r>
      <w:r>
        <w:rPr>
          <w:rFonts w:hint="eastAsia" w:ascii="宋体" w:hAnsi="宋体" w:eastAsia="宋体" w:cs="宋体"/>
          <w:kern w:val="0"/>
          <w:sz w:val="21"/>
          <w:szCs w:val="21"/>
        </w:rPr>
        <w:t>SYNCE和GPS</w:t>
      </w:r>
      <w:r>
        <w:rPr>
          <w:rFonts w:ascii="宋体" w:hAnsi="宋体" w:eastAsia="宋体" w:cs="宋体"/>
          <w:kern w:val="0"/>
          <w:sz w:val="21"/>
          <w:szCs w:val="21"/>
        </w:rPr>
        <w:t>/</w:t>
      </w:r>
      <w:r>
        <w:rPr>
          <w:rFonts w:hint="eastAsia" w:ascii="宋体" w:hAnsi="宋体" w:eastAsia="宋体" w:cs="宋体"/>
          <w:kern w:val="0"/>
          <w:sz w:val="21"/>
          <w:szCs w:val="21"/>
        </w:rPr>
        <w:t>北斗时间同步能力，确保系统时钟精度。主要性能特点如下：</w:t>
      </w:r>
    </w:p>
    <w:p>
      <w:pPr>
        <w:pStyle w:val="8"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标准PCIe接口和尺寸，可插入各种x</w:t>
      </w:r>
      <w:r>
        <w:rPr>
          <w:rFonts w:ascii="宋体" w:hAnsi="宋体" w:eastAsia="宋体" w:cs="宋体"/>
          <w:kern w:val="0"/>
          <w:sz w:val="21"/>
          <w:szCs w:val="21"/>
        </w:rPr>
        <w:t>86</w:t>
      </w:r>
      <w:r>
        <w:rPr>
          <w:rFonts w:hint="eastAsia" w:ascii="宋体" w:hAnsi="宋体" w:eastAsia="宋体" w:cs="宋体"/>
          <w:kern w:val="0"/>
          <w:sz w:val="21"/>
          <w:szCs w:val="21"/>
        </w:rPr>
        <w:t>和ARM服务器，达到计算加速的目的。</w:t>
      </w:r>
    </w:p>
    <w:p>
      <w:pPr>
        <w:pStyle w:val="8"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功能汇聚，融PCIe、LDPC加速、lowphy、SFP</w:t>
      </w:r>
      <w:r>
        <w:rPr>
          <w:rFonts w:ascii="宋体" w:hAnsi="宋体" w:eastAsia="宋体" w:cs="宋体"/>
          <w:kern w:val="0"/>
          <w:sz w:val="21"/>
          <w:szCs w:val="21"/>
        </w:rPr>
        <w:t>+/SFP28</w:t>
      </w:r>
      <w:r>
        <w:rPr>
          <w:rFonts w:hint="eastAsia" w:ascii="宋体" w:hAnsi="宋体" w:eastAsia="宋体" w:cs="宋体"/>
          <w:kern w:val="0"/>
          <w:sz w:val="21"/>
          <w:szCs w:val="21"/>
        </w:rPr>
        <w:t>前传、时钟同步与保持于一体，有效降低硬件成本，提升加速性能。</w:t>
      </w:r>
    </w:p>
    <w:p>
      <w:pPr>
        <w:pStyle w:val="8"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支持</w:t>
      </w:r>
      <w:r>
        <w:rPr>
          <w:rFonts w:ascii="宋体" w:hAnsi="宋体" w:eastAsia="宋体" w:cs="宋体"/>
          <w:kern w:val="0"/>
          <w:sz w:val="21"/>
          <w:szCs w:val="21"/>
        </w:rPr>
        <w:t>1588V2</w:t>
      </w:r>
      <w:r>
        <w:rPr>
          <w:rFonts w:hint="eastAsia" w:ascii="宋体" w:hAnsi="宋体" w:eastAsia="宋体" w:cs="宋体"/>
          <w:kern w:val="0"/>
          <w:sz w:val="21"/>
          <w:szCs w:val="21"/>
        </w:rPr>
        <w:t>、</w:t>
      </w:r>
      <w:r>
        <w:rPr>
          <w:rFonts w:ascii="宋体" w:hAnsi="宋体" w:eastAsia="宋体" w:cs="宋体"/>
          <w:kern w:val="0"/>
          <w:sz w:val="21"/>
          <w:szCs w:val="21"/>
        </w:rPr>
        <w:t>1588V2+SYNCE</w:t>
      </w:r>
      <w:r>
        <w:rPr>
          <w:rFonts w:hint="eastAsia" w:ascii="宋体" w:hAnsi="宋体" w:eastAsia="宋体" w:cs="宋体"/>
          <w:kern w:val="0"/>
          <w:sz w:val="21"/>
          <w:szCs w:val="21"/>
        </w:rPr>
        <w:t>、</w:t>
      </w:r>
      <w:r>
        <w:rPr>
          <w:rFonts w:ascii="宋体" w:hAnsi="宋体" w:eastAsia="宋体" w:cs="宋体"/>
          <w:kern w:val="0"/>
          <w:sz w:val="21"/>
          <w:szCs w:val="21"/>
        </w:rPr>
        <w:t>GNSS</w:t>
      </w:r>
      <w:r>
        <w:rPr>
          <w:rFonts w:hint="eastAsia" w:ascii="宋体" w:hAnsi="宋体" w:eastAsia="宋体" w:cs="宋体"/>
          <w:kern w:val="0"/>
          <w:sz w:val="21"/>
          <w:szCs w:val="21"/>
        </w:rPr>
        <w:t>（北斗</w:t>
      </w:r>
      <w:r>
        <w:rPr>
          <w:rFonts w:ascii="宋体" w:hAnsi="宋体" w:eastAsia="宋体" w:cs="宋体"/>
          <w:kern w:val="0"/>
          <w:sz w:val="21"/>
          <w:szCs w:val="21"/>
        </w:rPr>
        <w:t>/GPS</w:t>
      </w:r>
      <w:r>
        <w:rPr>
          <w:rFonts w:hint="eastAsia" w:ascii="宋体" w:hAnsi="宋体" w:eastAsia="宋体" w:cs="宋体"/>
          <w:kern w:val="0"/>
          <w:sz w:val="21"/>
          <w:szCs w:val="21"/>
        </w:rPr>
        <w:t>）等时钟同步，时钟频率误差小于</w:t>
      </w:r>
      <w:r>
        <w:rPr>
          <w:rFonts w:ascii="宋体" w:hAnsi="宋体" w:eastAsia="宋体" w:cs="宋体"/>
          <w:kern w:val="0"/>
          <w:sz w:val="21"/>
          <w:szCs w:val="21"/>
        </w:rPr>
        <w:t>0.05ppm</w:t>
      </w:r>
      <w:r>
        <w:rPr>
          <w:rFonts w:hint="eastAsia" w:ascii="宋体" w:hAnsi="宋体" w:eastAsia="宋体" w:cs="宋体"/>
          <w:kern w:val="0"/>
          <w:sz w:val="21"/>
          <w:szCs w:val="21"/>
        </w:rPr>
        <w:t>。</w:t>
      </w:r>
    </w:p>
    <w:p>
      <w:pPr>
        <w:pStyle w:val="8"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专用时钟算法，在时钟失步时，</w:t>
      </w:r>
      <w:r>
        <w:rPr>
          <w:rFonts w:ascii="宋体" w:hAnsi="宋体" w:eastAsia="宋体" w:cs="宋体"/>
          <w:kern w:val="0"/>
          <w:sz w:val="21"/>
          <w:szCs w:val="21"/>
        </w:rPr>
        <w:t>24</w:t>
      </w:r>
      <w:r>
        <w:rPr>
          <w:rFonts w:hint="eastAsia" w:ascii="宋体" w:hAnsi="宋体" w:eastAsia="宋体" w:cs="宋体"/>
          <w:kern w:val="0"/>
          <w:sz w:val="21"/>
          <w:szCs w:val="21"/>
        </w:rPr>
        <w:t>小时漂移小于</w:t>
      </w:r>
      <w:r>
        <w:rPr>
          <w:rFonts w:ascii="宋体" w:hAnsi="宋体" w:eastAsia="宋体" w:cs="宋体"/>
          <w:kern w:val="0"/>
          <w:sz w:val="21"/>
          <w:szCs w:val="21"/>
        </w:rPr>
        <w:t>1.5us</w:t>
      </w:r>
      <w:r>
        <w:rPr>
          <w:rFonts w:hint="eastAsia" w:ascii="宋体" w:hAnsi="宋体" w:eastAsia="宋体" w:cs="宋体"/>
          <w:kern w:val="0"/>
          <w:sz w:val="21"/>
          <w:szCs w:val="21"/>
        </w:rPr>
        <w:t>，保证客户业务持续性和系统工作可靠性。</w:t>
      </w:r>
    </w:p>
    <w:p>
      <w:pPr>
        <w:pStyle w:val="8"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低功耗设计，加速卡整板功耗小于5</w:t>
      </w:r>
      <w:r>
        <w:rPr>
          <w:rFonts w:ascii="宋体" w:hAnsi="宋体" w:eastAsia="宋体" w:cs="宋体"/>
          <w:kern w:val="0"/>
          <w:sz w:val="21"/>
          <w:szCs w:val="21"/>
        </w:rPr>
        <w:t>0</w:t>
      </w:r>
      <w:r>
        <w:rPr>
          <w:rFonts w:hint="eastAsia" w:ascii="宋体" w:hAnsi="宋体" w:eastAsia="宋体" w:cs="宋体"/>
          <w:kern w:val="0"/>
          <w:sz w:val="21"/>
          <w:szCs w:val="21"/>
        </w:rPr>
        <w:t>瓦（前传加速卡整板功耗小于</w:t>
      </w:r>
      <w:r>
        <w:rPr>
          <w:rFonts w:ascii="宋体" w:hAnsi="宋体" w:eastAsia="宋体" w:cs="宋体"/>
          <w:kern w:val="0"/>
          <w:sz w:val="21"/>
          <w:szCs w:val="21"/>
        </w:rPr>
        <w:t>70</w:t>
      </w:r>
      <w:r>
        <w:rPr>
          <w:rFonts w:hint="eastAsia" w:ascii="宋体" w:hAnsi="宋体" w:eastAsia="宋体" w:cs="宋体"/>
          <w:kern w:val="0"/>
          <w:sz w:val="21"/>
          <w:szCs w:val="21"/>
        </w:rPr>
        <w:t>瓦），业界领先。</w:t>
      </w:r>
    </w:p>
    <w:p>
      <w:pPr>
        <w:pStyle w:val="8"/>
        <w:numPr>
          <w:ilvl w:val="0"/>
          <w:numId w:val="3"/>
        </w:numPr>
        <w:spacing w:after="312" w:afterLines="100" w:line="360" w:lineRule="auto"/>
        <w:ind w:firstLineChars="0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扩展性强。接口标准化、设计模块化，可根据需要进行功能、性能的扩展。</w:t>
      </w:r>
    </w:p>
    <w:p>
      <w:pPr>
        <w:jc w:val="center"/>
      </w:pPr>
      <w:r>
        <w:drawing>
          <wp:inline distT="0" distB="0" distL="0" distR="0">
            <wp:extent cx="3079750" cy="1550670"/>
            <wp:effectExtent l="0" t="0" r="635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623" cy="157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1"/>
        </w:numPr>
        <w:bidi w:val="0"/>
        <w:ind w:left="0" w:leftChars="0" w:firstLine="42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5G</w:t>
      </w:r>
      <w:bookmarkStart w:id="3" w:name="_GoBack"/>
      <w:bookmarkEnd w:id="3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工业网关</w:t>
      </w:r>
    </w:p>
    <w:p>
      <w:pPr>
        <w:spacing w:line="360" w:lineRule="auto"/>
        <w:ind w:left="427" w:right="160" w:firstLine="12"/>
        <w:jc w:val="both"/>
        <w:rPr>
          <w:rFonts w:ascii="宋体" w:hAnsi="宋体" w:eastAsia="宋体" w:cs="宋体"/>
          <w:i w:val="0"/>
          <w:iCs w:val="0"/>
          <w:sz w:val="21"/>
          <w:szCs w:val="21"/>
          <w:lang w:eastAsia="zh-CN"/>
        </w:rPr>
      </w:pPr>
      <w:r>
        <w:rPr>
          <w:i w:val="0"/>
          <w:iCs w:val="0"/>
          <w:sz w:val="21"/>
          <w:szCs w:val="21"/>
          <w:lang w:eastAsia="zh-CN"/>
        </w:rPr>
        <w:t>5G</w:t>
      </w:r>
      <w:r>
        <w:rPr>
          <w:rFonts w:ascii="宋体" w:hAnsi="宋体" w:eastAsia="宋体" w:cs="宋体"/>
          <w:i w:val="0"/>
          <w:iCs w:val="0"/>
          <w:sz w:val="21"/>
          <w:szCs w:val="21"/>
          <w:lang w:eastAsia="zh-CN"/>
        </w:rPr>
        <w:t>智能工业网关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  <w:lang w:eastAsia="zh-CN"/>
        </w:rPr>
        <w:t>I3</w:t>
      </w:r>
      <w:r>
        <w:rPr>
          <w:rFonts w:ascii="宋体" w:hAnsi="宋体" w:eastAsia="宋体" w:cs="宋体"/>
          <w:i w:val="0"/>
          <w:iCs w:val="0"/>
          <w:sz w:val="21"/>
          <w:szCs w:val="21"/>
          <w:lang w:eastAsia="zh-CN"/>
        </w:rPr>
        <w:t xml:space="preserve"> 5002具有开放式的软件架构设计，提供快速灵活定制；在低尺寸的同时兼具丰富的接口，支持本地实时数据分析与智能化处理；采用工业级标准设计，宽温、防尘防水防油、抗强电磁干扰，能够适配不同行业场景，广泛应用于</w:t>
      </w:r>
      <w:r>
        <w:rPr>
          <w:i w:val="0"/>
          <w:iCs w:val="0"/>
          <w:sz w:val="21"/>
          <w:szCs w:val="21"/>
          <w:lang w:eastAsia="zh-CN"/>
        </w:rPr>
        <w:t xml:space="preserve"> AGV </w:t>
      </w:r>
      <w:r>
        <w:rPr>
          <w:rFonts w:ascii="宋体" w:hAnsi="宋体" w:eastAsia="宋体" w:cs="宋体"/>
          <w:i w:val="0"/>
          <w:iCs w:val="0"/>
          <w:sz w:val="21"/>
          <w:szCs w:val="21"/>
          <w:lang w:eastAsia="zh-CN"/>
        </w:rPr>
        <w:t>小车、机器人巡检、智慧医疗等场景。</w:t>
      </w:r>
    </w:p>
    <w:p>
      <w:pPr>
        <w:spacing w:line="360" w:lineRule="auto"/>
        <w:ind w:left="427" w:right="160" w:firstLine="12"/>
        <w:jc w:val="center"/>
        <w:rPr>
          <w:rFonts w:ascii="宋体" w:hAnsi="宋体" w:eastAsia="宋体" w:cs="宋体"/>
          <w:i w:val="0"/>
          <w:iCs w:val="0"/>
          <w:sz w:val="21"/>
          <w:szCs w:val="21"/>
          <w:lang w:eastAsia="zh-CN"/>
        </w:rPr>
      </w:pPr>
      <w:r>
        <w:drawing>
          <wp:inline distT="0" distB="0" distL="114300" distR="114300">
            <wp:extent cx="1224280" cy="1114425"/>
            <wp:effectExtent l="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3350B2"/>
    <w:multiLevelType w:val="multilevel"/>
    <w:tmpl w:val="123350B2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 w:cs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">
    <w:nsid w:val="47340AF6"/>
    <w:multiLevelType w:val="singleLevel"/>
    <w:tmpl w:val="47340AF6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47E8544E"/>
    <w:multiLevelType w:val="multilevel"/>
    <w:tmpl w:val="47E8544E"/>
    <w:lvl w:ilvl="0" w:tentative="0">
      <w:start w:val="1"/>
      <w:numFmt w:val="bullet"/>
      <w:lvlText w:val="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NzFhNTE2ODA4NWNjMzY3MDUyM2Q1MGJjODVmODYifQ=="/>
  </w:docVars>
  <w:rsids>
    <w:rsidRoot w:val="00000000"/>
    <w:rsid w:val="2C531E7B"/>
    <w:rsid w:val="4C7E37E4"/>
    <w:rsid w:val="55CF0E73"/>
    <w:rsid w:val="76CD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黑体" w:cs="Times New Roman"/>
      <w:b/>
      <w:kern w:val="44"/>
      <w:sz w:val="28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link w:val="2"/>
    <w:qFormat/>
    <w:uiPriority w:val="0"/>
    <w:rPr>
      <w:rFonts w:ascii="Calibri" w:hAnsi="Calibri" w:eastAsia="黑体" w:cs="Times New Roman"/>
      <w:b/>
      <w:kern w:val="44"/>
      <w:sz w:val="2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2022-08-01T02:31:00Z</dcterms:created>
  <dc:creator>Administrator</dc:creator>
  <cp:lastModifiedBy>WaCko</cp:lastModifiedBy>
  <dcterms:modified xsi:type="dcterms:W3CDTF">2022-10-11T08:10:37Z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EDD23E7F33F04F3F8B6259335D40117C</vt:lpwstr>
  </property>
</Properties>
</file>