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450" w:lineRule="exact"/>
        <w:ind w:left="68" w:right="0" w:firstLine="0"/>
        <w:jc w:val="left"/>
        <w:rPr>
          <w:rFonts w:ascii="SimSun"/>
          <w:color w:val="000000"/>
          <w:spacing w:val="0"/>
          <w:sz w:val="44"/>
        </w:rPr>
      </w:pPr>
      <w:r>
        <w:bookmarkStart w:name="br1" w:id="br1"/>
      </w:r>
      <w:r>
        <w:bookmarkEnd w:id="br1"/>
      </w:r>
      <w:r>
        <w:rPr>
          <w:rFonts w:ascii="SimSun" w:hAnsi="SimSun" w:cs="SimSun"/>
          <w:color w:val="000000"/>
          <w:spacing w:val="2"/>
          <w:sz w:val="44"/>
        </w:rPr>
        <w:t>科技部</w:t>
      </w:r>
      <w:r>
        <w:rPr>
          <w:rFonts w:ascii="SimSun"/>
          <w:color w:val="000000"/>
          <w:spacing w:val="1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财政部关于进一步优化国家重点研</w:t>
      </w:r>
      <w:r>
        <w:rPr>
          <w:rFonts w:ascii="SimSun"/>
          <w:color w:val="000000"/>
          <w:spacing w:val="0"/>
          <w:sz w:val="44"/>
        </w:rPr>
      </w:r>
    </w:p>
    <w:p>
      <w:pPr>
        <w:pStyle w:val="Normal"/>
        <w:spacing w:before="301" w:after="0" w:line="450" w:lineRule="exact"/>
        <w:ind w:left="1283" w:right="0" w:firstLine="0"/>
        <w:jc w:val="left"/>
        <w:rPr>
          <w:rFonts w:ascii="SimSu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2"/>
          <w:sz w:val="44"/>
        </w:rPr>
        <w:t>发计划项目和资金管理的通知</w:t>
      </w:r>
      <w:r>
        <w:rPr>
          <w:rFonts w:ascii="SimSun"/>
          <w:color w:val="000000"/>
          <w:spacing w:val="0"/>
          <w:sz w:val="44"/>
        </w:rPr>
      </w:r>
    </w:p>
    <w:p>
      <w:pPr>
        <w:pStyle w:val="Normal"/>
        <w:spacing w:before="627" w:after="0" w:line="330" w:lineRule="exact"/>
        <w:ind w:left="2504" w:right="0" w:firstLine="0"/>
        <w:jc w:val="left"/>
        <w:rPr>
          <w:rFonts w:ascii="SimSu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1"/>
          <w:sz w:val="32"/>
        </w:rPr>
        <w:t>国科发资〔2019〕45</w:t>
      </w:r>
      <w:r>
        <w:rPr>
          <w:rFonts w:ascii="SimSun"/>
          <w:color w:val="000000"/>
          <w:spacing w:val="-79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号</w:t>
      </w:r>
      <w:r>
        <w:rPr>
          <w:rFonts w:ascii="SimSun"/>
          <w:color w:val="000000"/>
          <w:spacing w:val="0"/>
          <w:sz w:val="32"/>
        </w:rPr>
      </w:r>
    </w:p>
    <w:p>
      <w:pPr>
        <w:pStyle w:val="Normal"/>
        <w:spacing w:before="686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各有关单位：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74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7"/>
          <w:sz w:val="28"/>
        </w:rPr>
        <w:t>为贯彻落实习近平总书记在两院院士大会上的重要讲话精神和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6"/>
          <w:sz w:val="28"/>
        </w:rPr>
        <w:t>《国务院关于优化科研管理提升科研绩效若干措施的通知》（国发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〔2018〕25</w:t>
      </w:r>
      <w:r>
        <w:rPr>
          <w:rFonts w:ascii="SimSu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-10"/>
          <w:sz w:val="28"/>
        </w:rPr>
        <w:t>号）、《中共中央办公厅、国务院办公厅关于进一步加强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科研诚信建设的若干意见》《国务院办公厅关于抓好赋予科研机构和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7"/>
          <w:sz w:val="28"/>
        </w:rPr>
        <w:t>人员更大自主权有关文件贯彻落实工作的通知》（国办发〔2018〕127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号）的要求，充分激发科研人员创新活力，切实减轻科研人员负担，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现就国家重点研发计划组织实施有关问题补充通知如下。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1.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整合精简各类报表。系统梳理项目申报、立项、过程管理和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综合绩效评价等环节，优化管理流程，整合项目申报书、任务书、年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度报告、中期报告、综合绩效自评价报告等材料中的各类报表，按照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8"/>
          <w:sz w:val="28"/>
        </w:rPr>
        <w:t>减量不减质、满足管理基本需求的原则，将现有项目层面填报的表格，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整合精简为</w:t>
      </w:r>
      <w:r>
        <w:rPr>
          <w:rFonts w:ascii="SimSun"/>
          <w:color w:val="000000"/>
          <w:spacing w:val="-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6</w:t>
      </w:r>
      <w:r>
        <w:rPr>
          <w:rFonts w:ascii="SimSun"/>
          <w:color w:val="000000"/>
          <w:spacing w:val="-70"/>
          <w:sz w:val="28"/>
        </w:rPr>
        <w:t xml:space="preserve"> </w:t>
      </w:r>
      <w:r>
        <w:rPr>
          <w:rFonts w:ascii="SimSun" w:hAnsi="SimSun" w:cs="SimSun"/>
          <w:color w:val="000000"/>
          <w:spacing w:val="-3"/>
          <w:sz w:val="28"/>
        </w:rPr>
        <w:t>张；课题层面填报的表格，整合精简为</w:t>
      </w:r>
      <w:r>
        <w:rPr>
          <w:rFonts w:ascii="SimSun"/>
          <w:color w:val="000000"/>
          <w:spacing w:val="-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8</w:t>
      </w:r>
      <w:r>
        <w:rPr>
          <w:rFonts w:ascii="SimSun"/>
          <w:color w:val="000000"/>
          <w:spacing w:val="-69"/>
          <w:sz w:val="28"/>
        </w:rPr>
        <w:t xml:space="preserve"> </w:t>
      </w:r>
      <w:r>
        <w:rPr>
          <w:rFonts w:ascii="SimSun" w:hAnsi="SimSun" w:cs="SimSun"/>
          <w:color w:val="000000"/>
          <w:spacing w:val="-8"/>
          <w:sz w:val="28"/>
        </w:rPr>
        <w:t>张，实现“一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4"/>
          <w:sz w:val="28"/>
        </w:rPr>
        <w:t>表多用、一表多能”。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2.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减少信息填报和材料报送。从项目申报到综合绩效评价各环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节，全面推行信息化方式，通过国家科技管理信息系统填报材料。杜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绝科研单位基本信息、科研人员基本信息、项目目标和考核指标等各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935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bookmarkStart w:name="br2" w:id="br2"/>
      </w:r>
      <w:r>
        <w:bookmarkEnd w:id="br2"/>
      </w:r>
      <w:r>
        <w:rPr>
          <w:rFonts w:ascii="SimSun" w:hAnsi="SimSun" w:cs="SimSun"/>
          <w:color w:val="000000"/>
          <w:spacing w:val="-3"/>
          <w:sz w:val="28"/>
        </w:rPr>
        <w:t>类信息的重复填报，减少联合申报协议、诚信承诺书等材料的重复报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6"/>
          <w:sz w:val="28"/>
        </w:rPr>
        <w:t>送，实现项目全周期“信息一次填报、材料一次报送”。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9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合并年度报告和预算执行报告，不再单独编报年度财务决算报告；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减少纸质材料报送，一般情况下，项目牵头单位报送的纸质材料（除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4"/>
          <w:sz w:val="28"/>
        </w:rPr>
        <w:t>任务书外）不超过</w:t>
      </w:r>
      <w:r>
        <w:rPr>
          <w:rFonts w:ascii="SimSun"/>
          <w:color w:val="000000"/>
          <w:spacing w:val="-70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2</w:t>
      </w:r>
      <w:r>
        <w:rPr>
          <w:rFonts w:ascii="SimSun"/>
          <w:color w:val="000000"/>
          <w:spacing w:val="-70"/>
          <w:sz w:val="28"/>
        </w:rPr>
        <w:t xml:space="preserve"> </w:t>
      </w:r>
      <w:r>
        <w:rPr>
          <w:rFonts w:ascii="SimSun" w:hAnsi="SimSun" w:cs="SimSun"/>
          <w:color w:val="000000"/>
          <w:spacing w:val="-3"/>
          <w:sz w:val="28"/>
        </w:rPr>
        <w:t>套。除共性要求外，项目管理专业机构不得额外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增加半年报、季报等材料和表格报送，切实减轻科研人员负担。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3.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精简过程检查。按照任务书约定，在关键节点开展里程碑式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管理；实施周期三年以下的项目，一般不开展过程检查。项目管理专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业机构提前制定年度检查工作方案，相对集中时间开展检查，避免在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同一年度对同一项目重复检查、多头检查。同时，注重年度报告等已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有信息的分析运用，尽量让科研人员少填报信息。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4.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赋予科研人员更大技术路线决策权。科研项目申报期间，以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科研人员提出的技术路线为主进行论证；科研项目实施期间，科研人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员可以在研究方向不变、不降低考核指标的前提下自主调整研究方案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和技术路线，由项目牵头单位报项目管理专业机构备案。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9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科研项目负责人可以根据项目需要，在申报期间按规定自主组建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科研团队；结合项目进展情况，在实施期间按规定进行相应调整，并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7"/>
          <w:sz w:val="28"/>
        </w:rPr>
        <w:t>在遵守科研人员限项规定及符合诚信要求的前提下自主调整项目骨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干、一般参与人员，由项目牵头单位报项目管理专业机构备案。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5.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简化预算编制要求。根据科研活动规律和特点，进一步完善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预算编制。简化预算测算说明和编报表格，除设备费外，其他开支科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目无需单独填列明细表格。会议费/差旅费/国际合作交流费预算不超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611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bookmarkStart w:name="br3" w:id="br3"/>
      </w:r>
      <w:r>
        <w:bookmarkEnd w:id="br3"/>
      </w:r>
      <w:r>
        <w:rPr>
          <w:rFonts w:ascii="SimSun" w:hAnsi="SimSun" w:cs="SimSun"/>
          <w:color w:val="000000"/>
          <w:spacing w:val="0"/>
          <w:sz w:val="28"/>
        </w:rPr>
        <w:t>过直接费用</w:t>
      </w:r>
      <w:r>
        <w:rPr>
          <w:rFonts w:ascii="SimSun"/>
          <w:color w:val="000000"/>
          <w:spacing w:val="-71"/>
          <w:sz w:val="28"/>
        </w:rPr>
        <w:t xml:space="preserve"> </w:t>
      </w:r>
      <w:r>
        <w:rPr>
          <w:rFonts w:ascii="SimSun" w:hAnsi="SimSun" w:cs="SimSun"/>
          <w:color w:val="000000"/>
          <w:spacing w:val="-9"/>
          <w:sz w:val="28"/>
        </w:rPr>
        <w:t>10%的，无需提供预算测算依据；超过</w:t>
      </w:r>
      <w:r>
        <w:rPr>
          <w:rFonts w:ascii="SimSun"/>
          <w:color w:val="000000"/>
          <w:spacing w:val="-71"/>
          <w:sz w:val="28"/>
        </w:rPr>
        <w:t xml:space="preserve"> </w:t>
      </w:r>
      <w:r>
        <w:rPr>
          <w:rFonts w:ascii="SimSun" w:hAnsi="SimSun" w:cs="SimSun"/>
          <w:color w:val="000000"/>
          <w:spacing w:val="-8"/>
          <w:sz w:val="28"/>
        </w:rPr>
        <w:t>10%的，按照会议、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差旅、国际合作交流分类提供必要的测算依据，无需对每次会议、差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旅做单独的测算和说明。对于纳入“绿色通道”改革试点单位的科研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项目预算编制要求，按照改革试点相关规定执行。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ff0000"/>
          <w:spacing w:val="1"/>
          <w:sz w:val="28"/>
        </w:rPr>
        <w:t>6.</w:t>
      </w:r>
      <w:r>
        <w:rPr>
          <w:rFonts w:ascii="SimSun"/>
          <w:color w:val="ff0000"/>
          <w:spacing w:val="3"/>
          <w:sz w:val="28"/>
        </w:rPr>
        <w:t xml:space="preserve"> </w:t>
      </w:r>
      <w:r>
        <w:rPr>
          <w:rFonts w:ascii="SimSun" w:hAnsi="SimSun" w:cs="SimSun"/>
          <w:color w:val="ff0000"/>
          <w:spacing w:val="2"/>
          <w:sz w:val="28"/>
        </w:rPr>
        <w:t>扩大承担单位预算调剂权限。直接费用中设备费预算总额一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般不予调增，确需调增的应报项目管理专业机构审批；设备费预算总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额调减、设备费内部预算结构调整、拟购置设备的明细发生变化，以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及其他科目的预算调剂权下放给承担单位。直接费用实行分类总额控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制，其中，材料费、测试化验加工费、燃料动力费、出版/文献/信息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2"/>
          <w:sz w:val="28"/>
        </w:rPr>
        <w:t>传播/知识产权事务费等四个科目在实施中按一类管理；劳务费、专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家咨询费、会议费/差旅费/国际合作交流费、其他支出等四个科目在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实施中按一类管理。两类之间的预算调剂应履行承担单位内部审批程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序；同一类预算额度内，承担单位可结合实际情况进行审批或授权课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题负责人自行调剂使用；承担单位应按照国家有关规定完善管理制度，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-3"/>
          <w:sz w:val="28"/>
        </w:rPr>
        <w:t>及时为科研人员办理预算调剂手续；相关管理制度由单位主管部门报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ff0000"/>
          <w:spacing w:val="0"/>
          <w:sz w:val="28"/>
        </w:rPr>
        <w:t>项目管理部门备案。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7.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规范结题财务审计。项目实施期满后，课题承担单位应当及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时清理账目与资产，严格按照《中央财政科技计划项目（课题）结题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审计指引》及相关规范组织实施结题审计工作，并做好与项目综合绩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效评价工作的衔接。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61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1"/>
          <w:sz w:val="28"/>
        </w:rPr>
        <w:t>8.</w:t>
      </w:r>
      <w:r>
        <w:rPr>
          <w:rFonts w:ascii="SimSun"/>
          <w:color w:val="000000"/>
          <w:spacing w:val="3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实施一次性项目综合绩效评价。不再单独组织技术验收、财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务验收，合并有关验收程序，实施一次性综合绩效评价。项目实施期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611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bookmarkStart w:name="br4" w:id="br4"/>
      </w:r>
      <w:r>
        <w:bookmarkEnd w:id="br4"/>
      </w:r>
      <w:r>
        <w:rPr>
          <w:rFonts w:ascii="SimSun" w:hAnsi="SimSun" w:cs="SimSun"/>
          <w:color w:val="000000"/>
          <w:spacing w:val="2"/>
          <w:sz w:val="28"/>
        </w:rPr>
        <w:t>满，项目管理专业机构应当根据有关要求，严格按照任务书的约定，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考核项目任务完成情况和项目资金管理使用情况，组织开展综合绩效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评价，重视相关项目间的协同和项目对重点专项目标实现的支撑作用。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结余经费的认定、留用与收回等按照综合绩效评价相关要求执行。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9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9.</w:t>
      </w:r>
      <w:r>
        <w:rPr>
          <w:rFonts w:ascii="SimSun"/>
          <w:color w:val="000000"/>
          <w:spacing w:val="0"/>
          <w:sz w:val="28"/>
        </w:rPr>
        <w:t xml:space="preserve"> </w:t>
      </w:r>
      <w:r>
        <w:rPr>
          <w:rFonts w:ascii="SimSun" w:hAnsi="SimSun" w:cs="SimSun"/>
          <w:color w:val="000000"/>
          <w:spacing w:val="-3"/>
          <w:sz w:val="28"/>
        </w:rPr>
        <w:t>突出代表性成果和项目实施效果评价。按照分类评价的要求，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基础研究与应用基础研究类项目重点评价新发现、新原理、新方法、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新规律的重大原创性和科学价值、解决经济社会发展和国家安全重大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需求中关键科学问题的效能、支撑技术和产品开发的效果、代表性论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文等科研成果的质量和水平；技术和产品开发类项目重点评价新技术、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新方法、新产品、关键部件等的创新性、成熟度、稳定性、可靠性，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突出成果转化应用情况及其在解决经济社会发展关键问题、支撑引领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行业产业高质量发展中发挥的作用；应用示范类项目绩效评价以规模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2"/>
          <w:sz w:val="28"/>
        </w:rPr>
        <w:t>化应用、行业内推广为导向，重点评价集成性、先进性、经济适用性、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辐射带动作用及产生的经济社会效益。对提交评价的论文、专利等作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2"/>
          <w:sz w:val="28"/>
        </w:rPr>
        <w:t>出数量限制规定，不将“头衔”“帽子”“论文数量”“获得奖励”等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作为评价指标。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9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10.</w:t>
      </w:r>
      <w:r>
        <w:rPr>
          <w:rFonts w:ascii="SimSun"/>
          <w:color w:val="000000"/>
          <w:spacing w:val="0"/>
          <w:sz w:val="28"/>
        </w:rPr>
        <w:t xml:space="preserve"> </w:t>
      </w:r>
      <w:r>
        <w:rPr>
          <w:rFonts w:ascii="SimSun" w:hAnsi="SimSun" w:cs="SimSun"/>
          <w:color w:val="000000"/>
          <w:spacing w:val="-4"/>
          <w:sz w:val="28"/>
        </w:rPr>
        <w:t>加强科学伦理审查和监管。有关承担单位和科研人员须恪守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科学道德，遵守有关法律法规和伦理准则。相关单位建立资质合格的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伦理审查委员会，须对相关科研活动加强审查和监管；相关科研人员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应自觉接受伦理审查和监管。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9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11.</w:t>
      </w:r>
      <w:r>
        <w:rPr>
          <w:rFonts w:ascii="SimSun"/>
          <w:color w:val="000000"/>
          <w:spacing w:val="0"/>
          <w:sz w:val="28"/>
        </w:rPr>
        <w:t xml:space="preserve"> </w:t>
      </w:r>
      <w:r>
        <w:rPr>
          <w:rFonts w:ascii="SimSun" w:hAnsi="SimSun" w:cs="SimSun"/>
          <w:color w:val="000000"/>
          <w:spacing w:val="-4"/>
          <w:sz w:val="28"/>
        </w:rPr>
        <w:t>强化承担单位和项目管理专业机构责任。承担单位应发挥科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研项目和资金管理主体责任，结合单位实际，修订完善内部科研项目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611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bookmarkStart w:name="br5" w:id="br5"/>
      </w:r>
      <w:r>
        <w:bookmarkEnd w:id="br5"/>
      </w:r>
      <w:r>
        <w:rPr>
          <w:rFonts w:ascii="SimSun" w:hAnsi="SimSun" w:cs="SimSun"/>
          <w:color w:val="000000"/>
          <w:spacing w:val="-8"/>
          <w:sz w:val="28"/>
        </w:rPr>
        <w:t>和资金管理制度，严格按照任务书的承诺，做好组织实施和支撑服务；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中央高校、科研院所要根据科研工作的特点，对科研需要的出差和会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8"/>
          <w:sz w:val="28"/>
        </w:rPr>
        <w:t>议按标准报销相关费用，进一步简化优化报销管理，建立起科学合理、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便捷高效的报销管理机制；加强单位内部的政策宣传与培训，强化科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8"/>
          <w:sz w:val="28"/>
        </w:rPr>
        <w:t>研人员的责任和诚信意识，对违背承诺与诚信要求的，加强责任追究，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对严重失信行为实行联合惩戒。项目管理专业机构要深入落实下放科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技管理权限工作，及时向项目承担单位拨付资金，不得额外增加承担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单位的负担。承担单位及项目管理专业机构要根据《财政部关于进一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步完善中央财政科技和教育资金预算执行管理有关事宜的通知》（财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库〔2018〕96</w:t>
      </w:r>
      <w:r>
        <w:rPr>
          <w:rFonts w:ascii="SimSun"/>
          <w:color w:val="000000"/>
          <w:spacing w:val="0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号）等要求，做好资金支付管理、公务卡管理、科研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仪器设备采购管理等相关工作。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9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12.</w:t>
      </w:r>
      <w:r>
        <w:rPr>
          <w:rFonts w:ascii="SimSun"/>
          <w:color w:val="000000"/>
          <w:spacing w:val="0"/>
          <w:sz w:val="28"/>
        </w:rPr>
        <w:t xml:space="preserve"> </w:t>
      </w:r>
      <w:r>
        <w:rPr>
          <w:rFonts w:ascii="SimSun" w:hAnsi="SimSun" w:cs="SimSun"/>
          <w:color w:val="000000"/>
          <w:spacing w:val="-4"/>
          <w:sz w:val="28"/>
        </w:rPr>
        <w:t>做好项目政策衔接。对于执行周期结束且已开展结题验收的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项目，继续按照原政策执行；项目执行周期结束但尚未开展结题验收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以及仍在执行中的项目，参照本通知执行。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72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本通知自发布之日起施行，《国家重点研发计划管理暂行办法》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6"/>
          <w:sz w:val="28"/>
        </w:rPr>
        <w:t>（国科发资〔2017〕152</w:t>
      </w:r>
      <w:r>
        <w:rPr>
          <w:rFonts w:ascii="SimSun"/>
          <w:color w:val="000000"/>
          <w:spacing w:val="-70"/>
          <w:sz w:val="28"/>
        </w:rPr>
        <w:t xml:space="preserve"> </w:t>
      </w:r>
      <w:r>
        <w:rPr>
          <w:rFonts w:ascii="SimSun" w:hAnsi="SimSun" w:cs="SimSun"/>
          <w:color w:val="000000"/>
          <w:spacing w:val="-24"/>
          <w:sz w:val="28"/>
        </w:rPr>
        <w:t>号）、《国家重点研发计划资金管理办法》（财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"/>
          <w:sz w:val="28"/>
        </w:rPr>
        <w:t>科教〔2016〕113</w:t>
      </w:r>
      <w:r>
        <w:rPr>
          <w:rFonts w:ascii="SimSun"/>
          <w:color w:val="000000"/>
          <w:spacing w:val="-7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号）和改革前计划有关管理办法等相关规定与本通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0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知要求不一致的，以本通知为准。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958" w:after="0" w:line="290" w:lineRule="exact"/>
        <w:ind w:left="5648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科技部</w:t>
      </w:r>
      <w:r>
        <w:rPr>
          <w:rFonts w:ascii="SimSun"/>
          <w:color w:val="000000"/>
          <w:spacing w:val="14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财政部</w:t>
      </w:r>
      <w:r>
        <w:rPr>
          <w:rFonts w:ascii="SimSun"/>
          <w:color w:val="000000"/>
          <w:spacing w:val="0"/>
          <w:sz w:val="28"/>
        </w:rPr>
      </w:r>
    </w:p>
    <w:p>
      <w:pPr>
        <w:pStyle w:val="Normal"/>
        <w:spacing w:before="334" w:after="0" w:line="290" w:lineRule="exact"/>
        <w:ind w:left="5576" w:right="0" w:first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35"/>
          <w:sz w:val="28"/>
        </w:rPr>
        <w:t>2019年1月22日</w:t>
      </w:r>
      <w:r>
        <w:rPr>
          <w:rFonts w:ascii="SimSun"/>
          <w:color w:val="000000"/>
          <w:spacing w:val="0"/>
          <w:sz w:val="28"/>
        </w:rPr>
      </w:r>
    </w:p>
    <w:sectPr>
      <w:pgSz w:w="11900" w:h="16840"/>
      <w:pgMar w:top="1611" w:right="100" w:bottom="0" w:left="18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133</Words>
  <Characters>2888</Characters>
  <Application>Aspose</Application>
  <DocSecurity>0</DocSecurity>
  <Lines>0</Lines>
  <Paragraphs>106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mqq</dc:creator>
  <lastModifiedBy>mqq</lastModifiedBy>
  <revision>1</revision>
  <dcterms:created xmlns:xsi="http://www.w3.org/2001/XMLSchema-instance" xmlns:dcterms="http://purl.org/dc/terms/" xsi:type="dcterms:W3CDTF">2022-05-25T23:55:12+08:00</dcterms:created>
  <dcterms:modified xmlns:xsi="http://www.w3.org/2001/XMLSchema-instance" xmlns:dcterms="http://purl.org/dc/terms/" xsi:type="dcterms:W3CDTF">2022-05-25T23:55:12+08:00</dcterms:modified>
</coreProperties>
</file>