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9B" w:rsidRDefault="00023B2C">
      <w:pPr>
        <w:pStyle w:val="1"/>
        <w:spacing w:before="0" w:after="0" w:line="480" w:lineRule="exact"/>
        <w:jc w:val="center"/>
        <w:rPr>
          <w:rStyle w:val="a6"/>
          <w:rFonts w:ascii="Arial" w:eastAsia="Arial" w:hAnsi="Arial" w:cs="Arial"/>
          <w:sz w:val="28"/>
          <w:szCs w:val="28"/>
        </w:rPr>
      </w:pPr>
      <w:r>
        <w:rPr>
          <w:rStyle w:val="a6"/>
          <w:rFonts w:ascii="Arial" w:eastAsia="宋体" w:hAnsi="Arial" w:cs="Arial" w:hint="eastAsia"/>
          <w:sz w:val="28"/>
          <w:szCs w:val="28"/>
          <w:lang w:val="zh-TW"/>
        </w:rPr>
        <w:t>采购</w:t>
      </w:r>
      <w:r>
        <w:rPr>
          <w:rStyle w:val="a6"/>
          <w:rFonts w:ascii="Arial" w:eastAsia="宋体" w:hAnsi="Arial" w:cs="Arial"/>
          <w:sz w:val="28"/>
          <w:szCs w:val="28"/>
          <w:lang w:val="zh-TW" w:eastAsia="zh-TW"/>
        </w:rPr>
        <w:t>需求</w:t>
      </w:r>
    </w:p>
    <w:p w:rsidR="0073799B" w:rsidRDefault="00DE7C29">
      <w:pPr>
        <w:spacing w:line="480" w:lineRule="exact"/>
        <w:ind w:firstLineChars="200" w:firstLine="480"/>
        <w:rPr>
          <w:rFonts w:ascii="宋体" w:eastAsia="宋体" w:hAnsi="宋体" w:cs="宋体"/>
          <w:sz w:val="24"/>
          <w:szCs w:val="24"/>
        </w:rPr>
      </w:pPr>
      <w:bookmarkStart w:id="0" w:name="_Toc1517"/>
      <w:bookmarkStart w:id="1" w:name="_Toc76389597"/>
      <w:bookmarkStart w:id="2" w:name="_Toc4671"/>
      <w:bookmarkStart w:id="3" w:name="_Toc28715"/>
      <w:bookmarkStart w:id="4" w:name="_Toc12972"/>
      <w:bookmarkStart w:id="5" w:name="_Toc7143"/>
      <w:bookmarkStart w:id="6" w:name="_Toc3125"/>
      <w:r>
        <w:rPr>
          <w:rFonts w:ascii="宋体" w:eastAsia="宋体" w:hAnsi="宋体" w:cs="宋体" w:hint="eastAsia"/>
          <w:sz w:val="24"/>
          <w:szCs w:val="24"/>
        </w:rPr>
        <w:t>一、项目简介</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、项目情况：</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本项目位于</w:t>
      </w:r>
      <w:r w:rsidR="001C6A32">
        <w:rPr>
          <w:rFonts w:ascii="宋体" w:eastAsia="宋体" w:hAnsi="宋体" w:cs="宋体" w:hint="eastAsia"/>
          <w:sz w:val="24"/>
          <w:szCs w:val="24"/>
        </w:rPr>
        <w:t>东南大学无锡校区</w:t>
      </w:r>
      <w:r>
        <w:rPr>
          <w:rFonts w:ascii="宋体" w:eastAsia="宋体" w:hAnsi="宋体" w:cs="宋体" w:hint="eastAsia"/>
          <w:sz w:val="24"/>
          <w:szCs w:val="24"/>
        </w:rPr>
        <w:t>，拟于校区</w:t>
      </w:r>
      <w:r w:rsidR="001C6A32">
        <w:rPr>
          <w:rFonts w:ascii="宋体" w:eastAsia="宋体" w:hAnsi="宋体" w:cs="宋体" w:hint="eastAsia"/>
          <w:sz w:val="24"/>
          <w:szCs w:val="24"/>
        </w:rPr>
        <w:t>学生公寓六号楼商业街一楼商铺</w:t>
      </w:r>
      <w:r>
        <w:rPr>
          <w:rFonts w:ascii="宋体" w:eastAsia="宋体" w:hAnsi="宋体" w:cs="宋体" w:hint="eastAsia"/>
          <w:sz w:val="24"/>
          <w:szCs w:val="24"/>
        </w:rPr>
        <w:t>设立</w:t>
      </w:r>
      <w:r w:rsidR="001C6A32">
        <w:rPr>
          <w:rFonts w:ascii="宋体" w:eastAsia="宋体" w:hAnsi="宋体" w:cs="宋体" w:hint="eastAsia"/>
          <w:sz w:val="24"/>
          <w:szCs w:val="24"/>
        </w:rPr>
        <w:t>一</w:t>
      </w:r>
      <w:r>
        <w:rPr>
          <w:rFonts w:ascii="宋体" w:eastAsia="宋体" w:hAnsi="宋体" w:cs="宋体" w:hint="eastAsia"/>
          <w:sz w:val="24"/>
          <w:szCs w:val="24"/>
        </w:rPr>
        <w:t>个快递点。</w:t>
      </w:r>
      <w:r w:rsidR="001C6A32">
        <w:rPr>
          <w:rFonts w:ascii="宋体" w:eastAsia="宋体" w:hAnsi="宋体" w:cs="宋体" w:hint="eastAsia"/>
          <w:sz w:val="24"/>
          <w:szCs w:val="24"/>
        </w:rPr>
        <w:t>校区</w:t>
      </w:r>
      <w:r>
        <w:rPr>
          <w:rFonts w:ascii="宋体" w:eastAsia="宋体" w:hAnsi="宋体" w:cs="宋体" w:hint="eastAsia"/>
          <w:sz w:val="24"/>
          <w:szCs w:val="24"/>
        </w:rPr>
        <w:t>本着公开、公平、公正原则，采用</w:t>
      </w:r>
      <w:r w:rsidR="001C6A32">
        <w:rPr>
          <w:rFonts w:ascii="宋体" w:eastAsia="宋体" w:hAnsi="宋体" w:cs="宋体" w:hint="eastAsia"/>
          <w:sz w:val="24"/>
          <w:szCs w:val="24"/>
        </w:rPr>
        <w:t>询价方式</w:t>
      </w:r>
      <w:r>
        <w:rPr>
          <w:rFonts w:ascii="宋体" w:eastAsia="宋体" w:hAnsi="宋体" w:cs="宋体" w:hint="eastAsia"/>
          <w:sz w:val="24"/>
          <w:szCs w:val="24"/>
        </w:rPr>
        <w:t>选择第三方驻校物流服务公司，为师生提供快捷、安全、优质的快递服务。</w:t>
      </w:r>
    </w:p>
    <w:p w:rsidR="001C6A32" w:rsidRPr="001C6A32" w:rsidRDefault="001C6A32" w:rsidP="001C6A32">
      <w:pPr>
        <w:spacing w:line="480" w:lineRule="exact"/>
        <w:ind w:firstLineChars="200" w:firstLine="480"/>
        <w:rPr>
          <w:rFonts w:ascii="宋体" w:eastAsia="宋体" w:hAnsi="宋体" w:cs="宋体" w:hint="eastAsia"/>
          <w:sz w:val="24"/>
          <w:szCs w:val="24"/>
        </w:rPr>
      </w:pPr>
      <w:r w:rsidRPr="001C6A32">
        <w:rPr>
          <w:rFonts w:ascii="宋体" w:eastAsia="宋体" w:hAnsi="宋体" w:cs="宋体" w:hint="eastAsia"/>
          <w:sz w:val="24"/>
          <w:szCs w:val="24"/>
        </w:rPr>
        <w:t>学校提供1处场地（建筑面积约60平米）。中标人投资建设室内装修、智能化系统以及其他设备设施等供快递服务使用。</w:t>
      </w:r>
    </w:p>
    <w:p w:rsidR="001C6A32" w:rsidRPr="001C6A32" w:rsidRDefault="001C6A32" w:rsidP="001C6A32">
      <w:pPr>
        <w:spacing w:line="480" w:lineRule="exact"/>
        <w:ind w:firstLineChars="200" w:firstLine="480"/>
        <w:rPr>
          <w:rFonts w:ascii="宋体" w:eastAsia="宋体" w:hAnsi="宋体" w:cs="宋体" w:hint="eastAsia"/>
          <w:sz w:val="24"/>
          <w:szCs w:val="24"/>
        </w:rPr>
      </w:pPr>
      <w:r w:rsidRPr="001C6A32">
        <w:rPr>
          <w:rFonts w:ascii="宋体" w:eastAsia="宋体" w:hAnsi="宋体" w:cs="宋体" w:hint="eastAsia"/>
          <w:sz w:val="24"/>
          <w:szCs w:val="24"/>
        </w:rPr>
        <w:t>合同期限：三年。合同签订一个月内，中标人须完成快递驿站建设。</w:t>
      </w:r>
    </w:p>
    <w:p w:rsidR="0073799B" w:rsidRDefault="001C6A32" w:rsidP="001C6A32">
      <w:pPr>
        <w:pStyle w:val="a0"/>
        <w:spacing w:line="480" w:lineRule="exact"/>
        <w:ind w:firstLineChars="200" w:firstLine="480"/>
        <w:rPr>
          <w:rFonts w:ascii="宋体" w:hAnsi="宋体" w:cs="宋体"/>
          <w:sz w:val="24"/>
          <w:szCs w:val="24"/>
        </w:rPr>
      </w:pPr>
      <w:r w:rsidRPr="001C6A32">
        <w:rPr>
          <w:rFonts w:ascii="宋体" w:hAnsi="宋体" w:cs="宋体" w:hint="eastAsia"/>
          <w:sz w:val="24"/>
          <w:szCs w:val="24"/>
        </w:rPr>
        <w:t>经营范围：各类快递派送、收发。</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二、收取费用</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中标人自行担负水电暖、物业、环境清理等相关费用。</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三、管理要求</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严格遵守《快递市场管理办法》《中华人民共和国邮政法》《快递暂行条例》等法律、行政法规和相关国家标准，以及《中华人民共和国消防法》《中华人民共和国劳动合同法》等，遵守学校相关规章制度，服从学校的管理、监督和指导。</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、中标人不得将</w:t>
      </w:r>
      <w:r>
        <w:rPr>
          <w:rFonts w:ascii="宋体" w:eastAsia="宋体" w:hAnsi="宋体" w:cs="宋体" w:hint="eastAsia"/>
          <w:sz w:val="24"/>
          <w:szCs w:val="24"/>
        </w:rPr>
        <w:t>快递业务转包或委托他人经营，一经发现，</w:t>
      </w:r>
      <w:r>
        <w:rPr>
          <w:rFonts w:ascii="宋体" w:eastAsia="宋体" w:hAnsi="宋体" w:cs="宋体" w:hint="eastAsia"/>
          <w:sz w:val="24"/>
          <w:szCs w:val="24"/>
        </w:rPr>
        <w:t>采购</w:t>
      </w:r>
      <w:r>
        <w:rPr>
          <w:rFonts w:ascii="宋体" w:eastAsia="宋体" w:hAnsi="宋体" w:cs="宋体" w:hint="eastAsia"/>
          <w:sz w:val="24"/>
          <w:szCs w:val="24"/>
        </w:rPr>
        <w:t>人有权解除合同，中标人需无条件服从。</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、中标人承诺至少对现有电商及快递物流公司进行对接整合。</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、学校不对中标人做校园快递排他性承诺，若因中标人无能力整合全部快递公司或者所提供的服务无法达到学校要求，则学校</w:t>
      </w:r>
      <w:r>
        <w:rPr>
          <w:rFonts w:ascii="宋体" w:eastAsia="宋体" w:hAnsi="宋体" w:cs="宋体" w:hint="eastAsia"/>
          <w:sz w:val="24"/>
          <w:szCs w:val="24"/>
        </w:rPr>
        <w:t>有权另行安置中标人无法整合的快递公司，并要求中标人提供有效的服务整改方案，中标人不得有异议。</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、中标人使用快递智能综合管理系统，实现各类快递公司的服务整合，对派件、揽件进行科学管理。若有快递自提柜，应具备监控、锁控、屏显、传输等功能。</w:t>
      </w:r>
    </w:p>
    <w:p w:rsidR="0073799B" w:rsidRDefault="001C6A32">
      <w:pPr>
        <w:spacing w:line="480" w:lineRule="exact"/>
        <w:ind w:firstLineChars="200" w:firstLine="480"/>
        <w:rPr>
          <w:rFonts w:ascii="宋体" w:eastAsia="宋体" w:hAnsi="宋体" w:cs="宋体"/>
          <w:sz w:val="24"/>
          <w:szCs w:val="24"/>
        </w:rPr>
      </w:pPr>
      <w:r>
        <w:rPr>
          <w:rFonts w:ascii="宋体" w:eastAsia="宋体" w:hAnsi="宋体" w:cs="宋体"/>
          <w:sz w:val="24"/>
          <w:szCs w:val="24"/>
        </w:rPr>
        <w:t>6</w:t>
      </w:r>
      <w:r w:rsidR="00DE7C29">
        <w:rPr>
          <w:rFonts w:ascii="宋体" w:eastAsia="宋体" w:hAnsi="宋体" w:cs="宋体" w:hint="eastAsia"/>
          <w:sz w:val="24"/>
          <w:szCs w:val="24"/>
        </w:rPr>
        <w:t>、中标人应具备提供上门揽件服务能力，收费标准不得高于周边市场水平。毕业季等特殊时期，中标人应在学生公寓区设置临时站点提供揽件服务。</w:t>
      </w:r>
    </w:p>
    <w:p w:rsidR="0073799B" w:rsidRDefault="001C6A32">
      <w:pPr>
        <w:spacing w:line="480" w:lineRule="exact"/>
        <w:ind w:firstLineChars="200" w:firstLine="480"/>
        <w:rPr>
          <w:rFonts w:ascii="宋体" w:eastAsia="宋体" w:hAnsi="宋体" w:cs="宋体"/>
          <w:sz w:val="24"/>
          <w:szCs w:val="24"/>
        </w:rPr>
      </w:pPr>
      <w:r>
        <w:rPr>
          <w:rFonts w:ascii="宋体" w:eastAsia="宋体" w:hAnsi="宋体" w:cs="宋体"/>
          <w:sz w:val="24"/>
          <w:szCs w:val="24"/>
        </w:rPr>
        <w:lastRenderedPageBreak/>
        <w:t>7</w:t>
      </w:r>
      <w:r w:rsidR="00DE7C29">
        <w:rPr>
          <w:rFonts w:ascii="宋体" w:eastAsia="宋体" w:hAnsi="宋体" w:cs="宋体" w:hint="eastAsia"/>
          <w:sz w:val="24"/>
          <w:szCs w:val="24"/>
        </w:rPr>
        <w:t>、中标人要按照学校师生的作息时间调整取件、送件时间，要</w:t>
      </w:r>
      <w:r w:rsidR="00DE7C29">
        <w:rPr>
          <w:rFonts w:ascii="宋体" w:eastAsia="宋体" w:hAnsi="宋体" w:cs="宋体" w:hint="eastAsia"/>
          <w:sz w:val="24"/>
          <w:szCs w:val="24"/>
        </w:rPr>
        <w:t>做好信息核实工作，保证派件的准确性和及时性，若因代签快递为学校及师生带来损失，中标方应免费负责协调解决并承担因此产生的一切后果（包括但不限于经济损失、包裹损失、文件丢失及带来的损失等）。</w:t>
      </w:r>
    </w:p>
    <w:p w:rsidR="0073799B" w:rsidRDefault="001C6A32">
      <w:pPr>
        <w:spacing w:line="480" w:lineRule="exact"/>
        <w:ind w:firstLineChars="200" w:firstLine="480"/>
        <w:rPr>
          <w:rFonts w:ascii="宋体" w:eastAsia="宋体" w:hAnsi="宋体" w:cs="宋体"/>
          <w:sz w:val="24"/>
          <w:szCs w:val="24"/>
        </w:rPr>
      </w:pPr>
      <w:r>
        <w:rPr>
          <w:rFonts w:ascii="宋体" w:eastAsia="宋体" w:hAnsi="宋体" w:cs="宋体"/>
          <w:sz w:val="24"/>
          <w:szCs w:val="24"/>
        </w:rPr>
        <w:t>8</w:t>
      </w:r>
      <w:r w:rsidR="00DE7C29">
        <w:rPr>
          <w:rFonts w:ascii="宋体" w:eastAsia="宋体" w:hAnsi="宋体" w:cs="宋体" w:hint="eastAsia"/>
          <w:sz w:val="24"/>
          <w:szCs w:val="24"/>
        </w:rPr>
        <w:t>、中标人在校园内的工作人员要经过严格的职业培训后方可上岗，因业务量增加或者其他突发事件需要临时增加工作人员，需提前对增加的人员进行业务培训，保证校内工作人员的服务态度端正、工作效率高，尽可能减少师生寄件和取件的等候时间。</w:t>
      </w:r>
    </w:p>
    <w:p w:rsidR="0073799B" w:rsidRDefault="001C6A32">
      <w:pPr>
        <w:spacing w:line="480" w:lineRule="exact"/>
        <w:ind w:firstLineChars="200" w:firstLine="480"/>
        <w:rPr>
          <w:rFonts w:ascii="宋体" w:eastAsia="宋体" w:hAnsi="宋体" w:cs="宋体"/>
          <w:sz w:val="24"/>
          <w:szCs w:val="24"/>
        </w:rPr>
      </w:pPr>
      <w:r>
        <w:rPr>
          <w:rFonts w:ascii="宋体" w:eastAsia="宋体" w:hAnsi="宋体" w:cs="宋体"/>
          <w:sz w:val="24"/>
          <w:szCs w:val="24"/>
        </w:rPr>
        <w:t>9</w:t>
      </w:r>
      <w:r w:rsidR="00DE7C29">
        <w:rPr>
          <w:rFonts w:ascii="宋体" w:eastAsia="宋体" w:hAnsi="宋体" w:cs="宋体" w:hint="eastAsia"/>
          <w:sz w:val="24"/>
          <w:szCs w:val="24"/>
        </w:rPr>
        <w:t>、中标人必须按行业标准收取揽件、寄件</w:t>
      </w:r>
      <w:r w:rsidR="00DE7C29">
        <w:rPr>
          <w:rFonts w:ascii="宋体" w:eastAsia="宋体" w:hAnsi="宋体" w:cs="宋体" w:hint="eastAsia"/>
          <w:sz w:val="24"/>
          <w:szCs w:val="24"/>
        </w:rPr>
        <w:t>等费用，收费标准需要在快递中心进行公示。中标人不得向师生额外收取快递派送费用。</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w:t>
      </w:r>
      <w:r w:rsidR="001C6A32">
        <w:rPr>
          <w:rFonts w:ascii="宋体" w:eastAsia="宋体" w:hAnsi="宋体" w:cs="宋体"/>
          <w:sz w:val="24"/>
          <w:szCs w:val="24"/>
        </w:rPr>
        <w:t>0</w:t>
      </w:r>
      <w:r>
        <w:rPr>
          <w:rFonts w:ascii="宋体" w:eastAsia="宋体" w:hAnsi="宋体" w:cs="宋体" w:hint="eastAsia"/>
          <w:sz w:val="24"/>
          <w:szCs w:val="24"/>
        </w:rPr>
        <w:t>、车辆管理：中标人校内运行车辆须在</w:t>
      </w:r>
      <w:r w:rsidR="00E13519">
        <w:rPr>
          <w:rFonts w:ascii="宋体" w:eastAsia="宋体" w:hAnsi="宋体" w:cs="宋体" w:hint="eastAsia"/>
          <w:sz w:val="24"/>
          <w:szCs w:val="24"/>
        </w:rPr>
        <w:t>安保部门</w:t>
      </w:r>
      <w:r>
        <w:rPr>
          <w:rFonts w:ascii="宋体" w:eastAsia="宋体" w:hAnsi="宋体" w:cs="宋体" w:hint="eastAsia"/>
          <w:sz w:val="24"/>
          <w:szCs w:val="24"/>
        </w:rPr>
        <w:t>备案，并按照</w:t>
      </w:r>
      <w:r w:rsidR="00E13519">
        <w:rPr>
          <w:rFonts w:ascii="宋体" w:eastAsia="宋体" w:hAnsi="宋体" w:cs="宋体" w:hint="eastAsia"/>
          <w:sz w:val="24"/>
          <w:szCs w:val="24"/>
        </w:rPr>
        <w:t>相关</w:t>
      </w:r>
      <w:r>
        <w:rPr>
          <w:rFonts w:ascii="宋体" w:eastAsia="宋体" w:hAnsi="宋体" w:cs="宋体" w:hint="eastAsia"/>
          <w:sz w:val="24"/>
          <w:szCs w:val="24"/>
        </w:rPr>
        <w:t>要求缴纳停车费。</w:t>
      </w:r>
    </w:p>
    <w:p w:rsidR="0073799B" w:rsidRDefault="001C6A32">
      <w:pPr>
        <w:spacing w:line="480" w:lineRule="exact"/>
        <w:ind w:firstLineChars="200" w:firstLine="480"/>
        <w:rPr>
          <w:rFonts w:ascii="宋体" w:eastAsia="宋体" w:hAnsi="宋体" w:cs="宋体"/>
          <w:sz w:val="24"/>
          <w:szCs w:val="24"/>
        </w:rPr>
      </w:pPr>
      <w:r>
        <w:rPr>
          <w:rFonts w:ascii="宋体" w:eastAsia="宋体" w:hAnsi="宋体" w:cs="宋体"/>
          <w:sz w:val="24"/>
          <w:szCs w:val="24"/>
        </w:rPr>
        <w:t>11</w:t>
      </w:r>
      <w:r w:rsidR="00DE7C29">
        <w:rPr>
          <w:rFonts w:ascii="宋体" w:eastAsia="宋体" w:hAnsi="宋体" w:cs="宋体" w:hint="eastAsia"/>
          <w:sz w:val="24"/>
          <w:szCs w:val="24"/>
        </w:rPr>
        <w:t>、人员管理：中标人校内工作人员须在</w:t>
      </w:r>
      <w:r w:rsidR="00E13519">
        <w:rPr>
          <w:rFonts w:ascii="宋体" w:eastAsia="宋体" w:hAnsi="宋体" w:cs="宋体" w:hint="eastAsia"/>
          <w:sz w:val="24"/>
          <w:szCs w:val="24"/>
        </w:rPr>
        <w:t>行政综合办公室</w:t>
      </w:r>
      <w:r w:rsidR="00DE7C29">
        <w:rPr>
          <w:rFonts w:ascii="宋体" w:eastAsia="宋体" w:hAnsi="宋体" w:cs="宋体" w:hint="eastAsia"/>
          <w:sz w:val="24"/>
          <w:szCs w:val="24"/>
        </w:rPr>
        <w:t>备案，凡有变更情况应及时联系管理部门，经管理部门同意后方可变更。</w:t>
      </w:r>
    </w:p>
    <w:p w:rsidR="0073799B" w:rsidRDefault="001C6A32">
      <w:pPr>
        <w:spacing w:line="480" w:lineRule="exact"/>
        <w:ind w:firstLineChars="200" w:firstLine="480"/>
        <w:rPr>
          <w:rFonts w:ascii="宋体" w:eastAsia="宋体" w:hAnsi="宋体" w:cs="宋体"/>
          <w:sz w:val="24"/>
          <w:szCs w:val="24"/>
        </w:rPr>
      </w:pPr>
      <w:r>
        <w:rPr>
          <w:rFonts w:ascii="宋体" w:eastAsia="宋体" w:hAnsi="宋体" w:cs="宋体"/>
          <w:sz w:val="24"/>
          <w:szCs w:val="24"/>
        </w:rPr>
        <w:t>12</w:t>
      </w:r>
      <w:r w:rsidR="00DE7C29">
        <w:rPr>
          <w:rFonts w:ascii="宋体" w:eastAsia="宋体" w:hAnsi="宋体" w:cs="宋体" w:hint="eastAsia"/>
          <w:sz w:val="24"/>
          <w:szCs w:val="24"/>
        </w:rPr>
        <w:t>、安全要求：严禁中标人运送违禁货品，如发现采取一票否决制度，所有后果由中标人自行承担。</w:t>
      </w:r>
    </w:p>
    <w:p w:rsidR="0073799B" w:rsidRDefault="00DE7C2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w:t>
      </w:r>
      <w:r w:rsidR="001C6A32">
        <w:rPr>
          <w:rFonts w:ascii="宋体" w:eastAsia="宋体" w:hAnsi="宋体" w:cs="宋体"/>
          <w:sz w:val="24"/>
          <w:szCs w:val="24"/>
        </w:rPr>
        <w:t>3</w:t>
      </w:r>
      <w:r>
        <w:rPr>
          <w:rFonts w:ascii="宋体" w:eastAsia="宋体" w:hAnsi="宋体" w:cs="宋体" w:hint="eastAsia"/>
          <w:sz w:val="24"/>
          <w:szCs w:val="24"/>
        </w:rPr>
        <w:t>、如遇学校大型活动，中标人必须服从学校的统一管理。</w:t>
      </w:r>
    </w:p>
    <w:p w:rsidR="0073799B" w:rsidRDefault="00DE7C29">
      <w:pPr>
        <w:spacing w:line="480" w:lineRule="exact"/>
        <w:ind w:firstLineChars="200" w:firstLine="480"/>
        <w:rPr>
          <w:rFonts w:ascii="宋体" w:eastAsia="宋体" w:hAnsi="宋体" w:cs="宋体"/>
          <w:sz w:val="24"/>
          <w:szCs w:val="24"/>
          <w:highlight w:val="green"/>
        </w:rPr>
      </w:pPr>
      <w:r>
        <w:rPr>
          <w:rFonts w:ascii="宋体" w:eastAsia="宋体" w:hAnsi="宋体" w:cs="宋体" w:hint="eastAsia"/>
          <w:sz w:val="24"/>
          <w:szCs w:val="24"/>
        </w:rPr>
        <w:t>1</w:t>
      </w:r>
      <w:r w:rsidR="001C6A32">
        <w:rPr>
          <w:rFonts w:ascii="宋体" w:eastAsia="宋体" w:hAnsi="宋体" w:cs="宋体"/>
          <w:sz w:val="24"/>
          <w:szCs w:val="24"/>
        </w:rPr>
        <w:t>4</w:t>
      </w:r>
      <w:r>
        <w:rPr>
          <w:rFonts w:ascii="宋体" w:eastAsia="宋体" w:hAnsi="宋体" w:cs="宋体" w:hint="eastAsia"/>
          <w:sz w:val="24"/>
          <w:szCs w:val="24"/>
        </w:rPr>
        <w:t>、中标人在收到中标通知书且签订</w:t>
      </w:r>
      <w:r>
        <w:rPr>
          <w:rFonts w:ascii="宋体" w:eastAsia="宋体" w:hAnsi="宋体" w:cs="宋体" w:hint="eastAsia"/>
          <w:sz w:val="24"/>
          <w:szCs w:val="24"/>
        </w:rPr>
        <w:t>合同之前，向采购人提交履约保证金</w:t>
      </w:r>
      <w:r>
        <w:rPr>
          <w:rFonts w:ascii="宋体" w:eastAsia="宋体" w:hAnsi="宋体" w:cs="宋体" w:hint="eastAsia"/>
          <w:sz w:val="24"/>
          <w:szCs w:val="24"/>
        </w:rPr>
        <w:t>壹</w:t>
      </w:r>
      <w:r>
        <w:rPr>
          <w:rStyle w:val="a6"/>
          <w:rFonts w:ascii="宋体" w:eastAsia="宋体" w:hAnsi="宋体" w:cs="宋体" w:hint="eastAsia"/>
          <w:sz w:val="24"/>
          <w:szCs w:val="24"/>
        </w:rPr>
        <w:t>万元整</w:t>
      </w:r>
      <w:r>
        <w:rPr>
          <w:rFonts w:ascii="宋体" w:eastAsia="宋体" w:hAnsi="宋体" w:cs="宋体" w:hint="eastAsia"/>
          <w:sz w:val="24"/>
          <w:szCs w:val="24"/>
        </w:rPr>
        <w:t>，合同期间如出现服务质量等问题，学校有权从保证金中扣除。</w:t>
      </w:r>
    </w:p>
    <w:bookmarkEnd w:id="0"/>
    <w:bookmarkEnd w:id="1"/>
    <w:bookmarkEnd w:id="2"/>
    <w:bookmarkEnd w:id="3"/>
    <w:bookmarkEnd w:id="4"/>
    <w:bookmarkEnd w:id="5"/>
    <w:bookmarkEnd w:id="6"/>
    <w:p w:rsidR="0073799B" w:rsidRDefault="00DE7C29">
      <w:pPr>
        <w:spacing w:line="480" w:lineRule="exact"/>
        <w:ind w:firstLineChars="200" w:firstLine="480"/>
        <w:rPr>
          <w:rFonts w:ascii="宋体" w:eastAsia="宋体" w:hAnsi="宋体" w:cs="宋体"/>
          <w:sz w:val="24"/>
          <w:szCs w:val="24"/>
        </w:rPr>
        <w:sectPr w:rsidR="0073799B">
          <w:headerReference w:type="default" r:id="rId8"/>
          <w:footerReference w:type="default" r:id="rId9"/>
          <w:pgSz w:w="11900" w:h="16840"/>
          <w:pgMar w:top="1440" w:right="1797" w:bottom="1440" w:left="1797" w:header="851" w:footer="851" w:gutter="0"/>
          <w:cols w:space="720"/>
        </w:sectPr>
      </w:pPr>
      <w:r>
        <w:rPr>
          <w:rFonts w:ascii="宋体" w:eastAsia="宋体" w:hAnsi="宋体" w:cs="宋体" w:hint="eastAsia"/>
          <w:sz w:val="24"/>
          <w:szCs w:val="24"/>
        </w:rPr>
        <w:t>1</w:t>
      </w:r>
      <w:r w:rsidR="00E13519">
        <w:rPr>
          <w:rFonts w:ascii="宋体" w:eastAsia="宋体" w:hAnsi="宋体" w:cs="宋体"/>
          <w:sz w:val="24"/>
          <w:szCs w:val="24"/>
        </w:rPr>
        <w:t>5</w:t>
      </w:r>
      <w:r>
        <w:rPr>
          <w:rFonts w:ascii="宋体" w:eastAsia="宋体" w:hAnsi="宋体" w:cs="宋体" w:hint="eastAsia"/>
          <w:sz w:val="24"/>
          <w:szCs w:val="24"/>
        </w:rPr>
        <w:t>、中标人应遵守</w:t>
      </w:r>
      <w:r w:rsidR="00023B2C">
        <w:rPr>
          <w:rFonts w:ascii="宋体" w:eastAsia="宋体" w:hAnsi="宋体" w:cs="宋体" w:hint="eastAsia"/>
          <w:sz w:val="24"/>
          <w:szCs w:val="24"/>
        </w:rPr>
        <w:t>校区其他商铺管理规定</w:t>
      </w:r>
      <w:bookmarkStart w:id="7" w:name="_GoBack"/>
      <w:bookmarkEnd w:id="7"/>
      <w:r w:rsidR="00023B2C">
        <w:rPr>
          <w:rFonts w:ascii="宋体" w:eastAsia="宋体" w:hAnsi="宋体" w:cs="宋体" w:hint="eastAsia"/>
          <w:sz w:val="24"/>
          <w:szCs w:val="24"/>
        </w:rPr>
        <w:t>。</w:t>
      </w:r>
    </w:p>
    <w:p w:rsidR="001C6A32" w:rsidRDefault="001C6A32" w:rsidP="001C6A32"/>
    <w:p w:rsidR="0073799B" w:rsidRPr="00023B2C" w:rsidRDefault="00023B2C" w:rsidP="00023B2C">
      <w:pPr>
        <w:pStyle w:val="1"/>
        <w:spacing w:before="0" w:after="0" w:line="480" w:lineRule="exact"/>
        <w:jc w:val="center"/>
        <w:rPr>
          <w:rFonts w:ascii="Arial" w:eastAsia="PMingLiU" w:hAnsi="Arial" w:cs="Arial" w:hint="eastAsia"/>
          <w:sz w:val="28"/>
          <w:szCs w:val="28"/>
        </w:rPr>
      </w:pPr>
      <w:r>
        <w:rPr>
          <w:rStyle w:val="a6"/>
          <w:rFonts w:ascii="Arial" w:eastAsia="宋体" w:hAnsi="Arial" w:cs="Arial" w:hint="eastAsia"/>
          <w:sz w:val="28"/>
          <w:szCs w:val="28"/>
          <w:lang w:val="zh-TW"/>
        </w:rPr>
        <w:t>评分标准</w:t>
      </w:r>
    </w:p>
    <w:tbl>
      <w:tblPr>
        <w:tblW w:w="5000" w:type="pct"/>
        <w:tblCellMar>
          <w:left w:w="0" w:type="dxa"/>
          <w:right w:w="0" w:type="dxa"/>
        </w:tblCellMar>
        <w:tblLook w:val="04A0" w:firstRow="1" w:lastRow="0" w:firstColumn="1" w:lastColumn="0" w:noHBand="0" w:noVBand="1"/>
      </w:tblPr>
      <w:tblGrid>
        <w:gridCol w:w="1739"/>
        <w:gridCol w:w="696"/>
        <w:gridCol w:w="6087"/>
      </w:tblGrid>
      <w:tr w:rsidR="00023B2C" w:rsidRPr="00023B2C" w:rsidTr="00023B2C">
        <w:trPr>
          <w:trHeight w:val="20"/>
        </w:trPr>
        <w:tc>
          <w:tcPr>
            <w:tcW w:w="1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评</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审</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因</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素</w:t>
            </w:r>
          </w:p>
        </w:tc>
        <w:tc>
          <w:tcPr>
            <w:tcW w:w="400" w:type="pct"/>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left="-107" w:right="-107"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分值</w:t>
            </w:r>
          </w:p>
        </w:tc>
        <w:tc>
          <w:tcPr>
            <w:tcW w:w="35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jc w:val="center"/>
              <w:rPr>
                <w:rFonts w:ascii="Times New Roman" w:eastAsia="宋体" w:hAnsi="Times New Roman" w:cs="Times New Roman"/>
                <w:color w:val="333333"/>
                <w:kern w:val="0"/>
              </w:rPr>
            </w:pPr>
            <w:r w:rsidRPr="00023B2C">
              <w:rPr>
                <w:rFonts w:ascii="宋体" w:eastAsia="宋体" w:hAnsi="宋体" w:cs="Times New Roman" w:hint="eastAsia"/>
                <w:color w:val="333333"/>
                <w:kern w:val="0"/>
              </w:rPr>
              <w:t>评</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分</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细</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则</w:t>
            </w:r>
          </w:p>
        </w:tc>
      </w:tr>
      <w:tr w:rsidR="00023B2C" w:rsidRPr="00023B2C" w:rsidTr="00023B2C">
        <w:trPr>
          <w:trHeight w:val="2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投</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标</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报</w:t>
            </w:r>
            <w:r w:rsidRPr="00023B2C">
              <w:rPr>
                <w:rFonts w:ascii="Times New Roman" w:eastAsia="宋体" w:hAnsi="Times New Roman" w:cs="Times New Roman"/>
                <w:color w:val="333333"/>
                <w:kern w:val="0"/>
              </w:rPr>
              <w:t> </w:t>
            </w:r>
            <w:r w:rsidRPr="00023B2C">
              <w:rPr>
                <w:rFonts w:ascii="宋体" w:eastAsia="宋体" w:hAnsi="宋体" w:cs="Times New Roman" w:hint="eastAsia"/>
                <w:color w:val="333333"/>
                <w:kern w:val="0"/>
              </w:rPr>
              <w:t>价</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Times New Roman" w:eastAsia="宋体" w:hAnsi="Times New Roman" w:cs="Times New Roman"/>
                <w:color w:val="333333"/>
                <w:kern w:val="0"/>
              </w:rPr>
              <w:t>20</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宋体" w:eastAsia="宋体" w:hAnsi="宋体" w:cs="Times New Roman" w:hint="eastAsia"/>
                <w:color w:val="333333"/>
                <w:kern w:val="0"/>
              </w:rPr>
            </w:pPr>
            <w:r>
              <w:rPr>
                <w:rFonts w:ascii="宋体" w:eastAsia="宋体" w:hAnsi="宋体" w:cs="Times New Roman" w:hint="eastAsia"/>
                <w:color w:val="333333"/>
                <w:kern w:val="0"/>
              </w:rPr>
              <w:t>以</w:t>
            </w:r>
            <w:r w:rsidRPr="00023B2C">
              <w:rPr>
                <w:rFonts w:ascii="宋体" w:eastAsia="宋体" w:hAnsi="宋体" w:cs="Times New Roman" w:hint="eastAsia"/>
                <w:color w:val="333333"/>
                <w:kern w:val="0"/>
              </w:rPr>
              <w:t>满足招标文件要求</w:t>
            </w:r>
            <w:r>
              <w:rPr>
                <w:rFonts w:ascii="宋体" w:eastAsia="宋体" w:hAnsi="宋体" w:cs="Times New Roman" w:hint="eastAsia"/>
                <w:color w:val="333333"/>
                <w:kern w:val="0"/>
              </w:rPr>
              <w:t>且各投标人报价平均值的</w:t>
            </w:r>
            <w:r w:rsidRPr="00023B2C">
              <w:rPr>
                <w:rFonts w:ascii="宋体" w:eastAsia="宋体" w:hAnsi="宋体" w:cs="Times New Roman" w:hint="eastAsia"/>
                <w:color w:val="333333"/>
                <w:kern w:val="0"/>
              </w:rPr>
              <w:t>报价为评标基准价，其价格分为满分</w:t>
            </w:r>
            <w:r w:rsidRPr="00023B2C">
              <w:rPr>
                <w:rFonts w:ascii="Times New Roman" w:eastAsia="宋体" w:hAnsi="Times New Roman" w:cs="Times New Roman"/>
                <w:color w:val="333333"/>
                <w:kern w:val="0"/>
              </w:rPr>
              <w:t>20</w:t>
            </w:r>
            <w:r w:rsidRPr="00023B2C">
              <w:rPr>
                <w:rFonts w:ascii="宋体" w:eastAsia="宋体" w:hAnsi="宋体" w:cs="Times New Roman" w:hint="eastAsia"/>
                <w:color w:val="333333"/>
                <w:kern w:val="0"/>
              </w:rPr>
              <w:t>分。</w:t>
            </w:r>
            <w:r w:rsidR="00E13519">
              <w:rPr>
                <w:rFonts w:ascii="宋体" w:eastAsia="宋体" w:hAnsi="宋体" w:cs="Times New Roman" w:hint="eastAsia"/>
                <w:color w:val="333333"/>
                <w:kern w:val="0"/>
              </w:rPr>
              <w:t>与基准价一致得2</w:t>
            </w:r>
            <w:r w:rsidR="00E13519">
              <w:rPr>
                <w:rFonts w:ascii="宋体" w:eastAsia="宋体" w:hAnsi="宋体" w:cs="Times New Roman"/>
                <w:color w:val="333333"/>
                <w:kern w:val="0"/>
              </w:rPr>
              <w:t>0分</w:t>
            </w:r>
            <w:r w:rsidR="00E13519">
              <w:rPr>
                <w:rFonts w:ascii="宋体" w:eastAsia="宋体" w:hAnsi="宋体" w:cs="Times New Roman" w:hint="eastAsia"/>
                <w:color w:val="333333"/>
                <w:kern w:val="0"/>
              </w:rPr>
              <w:t>，</w:t>
            </w:r>
            <w:r w:rsidR="00E13519">
              <w:rPr>
                <w:rFonts w:ascii="宋体" w:eastAsia="宋体" w:hAnsi="宋体" w:cs="Times New Roman"/>
                <w:color w:val="333333"/>
                <w:kern w:val="0"/>
              </w:rPr>
              <w:t>每高于基准价</w:t>
            </w:r>
            <w:r w:rsidR="00E13519">
              <w:rPr>
                <w:rFonts w:ascii="宋体" w:eastAsia="宋体" w:hAnsi="宋体" w:cs="Times New Roman" w:hint="eastAsia"/>
                <w:color w:val="333333"/>
                <w:kern w:val="0"/>
              </w:rPr>
              <w:t>1</w:t>
            </w:r>
            <w:r w:rsidR="00E13519">
              <w:rPr>
                <w:rFonts w:ascii="宋体" w:eastAsia="宋体" w:hAnsi="宋体" w:cs="Times New Roman"/>
                <w:color w:val="333333"/>
                <w:kern w:val="0"/>
              </w:rPr>
              <w:t>0</w:t>
            </w:r>
            <w:r w:rsidR="00E13519">
              <w:rPr>
                <w:rFonts w:ascii="宋体" w:eastAsia="宋体" w:hAnsi="宋体" w:cs="Times New Roman" w:hint="eastAsia"/>
                <w:color w:val="333333"/>
                <w:kern w:val="0"/>
              </w:rPr>
              <w:t>%</w:t>
            </w:r>
            <w:r w:rsidR="00E13519">
              <w:rPr>
                <w:rFonts w:ascii="宋体" w:eastAsia="宋体" w:hAnsi="宋体" w:cs="Times New Roman"/>
                <w:color w:val="333333"/>
                <w:kern w:val="0"/>
              </w:rPr>
              <w:t>扣</w:t>
            </w:r>
            <w:r w:rsidR="00E13519">
              <w:rPr>
                <w:rFonts w:ascii="宋体" w:eastAsia="宋体" w:hAnsi="宋体" w:cs="Times New Roman" w:hint="eastAsia"/>
                <w:color w:val="333333"/>
                <w:kern w:val="0"/>
              </w:rPr>
              <w:t>1分，</w:t>
            </w:r>
            <w:r w:rsidR="00E13519">
              <w:rPr>
                <w:rFonts w:ascii="宋体" w:eastAsia="宋体" w:hAnsi="宋体" w:cs="Times New Roman"/>
                <w:color w:val="333333"/>
                <w:kern w:val="0"/>
              </w:rPr>
              <w:t>每低于基准价</w:t>
            </w:r>
            <w:r w:rsidR="00E13519">
              <w:rPr>
                <w:rFonts w:ascii="宋体" w:eastAsia="宋体" w:hAnsi="宋体" w:cs="Times New Roman" w:hint="eastAsia"/>
                <w:color w:val="333333"/>
                <w:kern w:val="0"/>
              </w:rPr>
              <w:t>1</w:t>
            </w:r>
            <w:r w:rsidR="00E13519">
              <w:rPr>
                <w:rFonts w:ascii="宋体" w:eastAsia="宋体" w:hAnsi="宋体" w:cs="Times New Roman"/>
                <w:color w:val="333333"/>
                <w:kern w:val="0"/>
              </w:rPr>
              <w:t>0</w:t>
            </w:r>
            <w:r w:rsidR="00E13519">
              <w:rPr>
                <w:rFonts w:ascii="宋体" w:eastAsia="宋体" w:hAnsi="宋体" w:cs="Times New Roman" w:hint="eastAsia"/>
                <w:color w:val="333333"/>
                <w:kern w:val="0"/>
              </w:rPr>
              <w:t>%</w:t>
            </w:r>
            <w:r w:rsidR="00E13519">
              <w:rPr>
                <w:rFonts w:ascii="宋体" w:eastAsia="宋体" w:hAnsi="宋体" w:cs="Times New Roman"/>
                <w:color w:val="333333"/>
                <w:kern w:val="0"/>
              </w:rPr>
              <w:t>扣</w:t>
            </w:r>
            <w:r w:rsidR="00E13519">
              <w:rPr>
                <w:rFonts w:ascii="宋体" w:eastAsia="宋体" w:hAnsi="宋体" w:cs="Times New Roman"/>
                <w:color w:val="333333"/>
                <w:kern w:val="0"/>
              </w:rPr>
              <w:t>2</w:t>
            </w:r>
            <w:r w:rsidR="00E13519">
              <w:rPr>
                <w:rFonts w:ascii="宋体" w:eastAsia="宋体" w:hAnsi="宋体" w:cs="Times New Roman" w:hint="eastAsia"/>
                <w:color w:val="333333"/>
                <w:kern w:val="0"/>
              </w:rPr>
              <w:t>分</w:t>
            </w:r>
            <w:r w:rsidR="00E13519">
              <w:rPr>
                <w:rFonts w:ascii="宋体" w:eastAsia="宋体" w:hAnsi="宋体" w:cs="Times New Roman" w:hint="eastAsia"/>
                <w:color w:val="333333"/>
                <w:kern w:val="0"/>
              </w:rPr>
              <w:t>。</w:t>
            </w:r>
          </w:p>
        </w:tc>
      </w:tr>
      <w:tr w:rsidR="00023B2C" w:rsidRPr="00023B2C" w:rsidTr="00023B2C">
        <w:trPr>
          <w:trHeight w:val="2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服务要求和商务条款响应情况</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20</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横向比较优，17-20分；     横向比较良，13-16分；</w:t>
            </w:r>
          </w:p>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横向比较一般，9-12分；    横向比较差，5-8分。</w:t>
            </w:r>
          </w:p>
        </w:tc>
      </w:tr>
      <w:tr w:rsidR="00023B2C" w:rsidRPr="00023B2C" w:rsidTr="00023B2C">
        <w:trPr>
          <w:trHeight w:val="2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服务方案的可行性、合理性</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20</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横向比较优，17-20分；     横向比较良，13-16分；</w:t>
            </w:r>
          </w:p>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横向比较一般，9-12分；    横向比较差，5-8分。</w:t>
            </w:r>
          </w:p>
        </w:tc>
      </w:tr>
      <w:tr w:rsidR="00023B2C" w:rsidRPr="00023B2C" w:rsidTr="00023B2C">
        <w:trPr>
          <w:trHeight w:val="2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规章制度及项目组人员配备情况</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10</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投标人规章制度、人员配备合理，8-10分；</w:t>
            </w:r>
          </w:p>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投标人规章制度、人员配备较合理，5-7分；</w:t>
            </w:r>
          </w:p>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投标人规章制度、人员配备基本合理，0-4分。</w:t>
            </w:r>
          </w:p>
        </w:tc>
      </w:tr>
      <w:tr w:rsidR="00023B2C" w:rsidRPr="00023B2C" w:rsidTr="00023B2C">
        <w:trPr>
          <w:trHeight w:val="2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服务质量保证措施等内容</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15</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横向比较优，12-15分；    横向比较良，8-11分；</w:t>
            </w:r>
          </w:p>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横向比较一般，4-7分；    横向比较差，0-4分。</w:t>
            </w:r>
          </w:p>
        </w:tc>
      </w:tr>
      <w:tr w:rsidR="00023B2C" w:rsidRPr="00023B2C" w:rsidTr="00023B2C">
        <w:trPr>
          <w:trHeight w:val="2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运营流程方案</w:t>
            </w:r>
          </w:p>
          <w:p w:rsidR="00023B2C" w:rsidRPr="00023B2C" w:rsidRDefault="00023B2C" w:rsidP="00023B2C">
            <w:pPr>
              <w:widowControl/>
              <w:spacing w:line="315" w:lineRule="atLeast"/>
              <w:ind w:firstLine="480"/>
              <w:jc w:val="center"/>
              <w:rPr>
                <w:rFonts w:ascii="Times New Roman" w:eastAsia="宋体" w:hAnsi="Times New Roman" w:cs="Times New Roman"/>
                <w:color w:val="333333"/>
                <w:kern w:val="0"/>
              </w:rPr>
            </w:pPr>
            <w:r w:rsidRPr="00023B2C">
              <w:rPr>
                <w:rFonts w:ascii="宋体" w:eastAsia="宋体" w:hAnsi="宋体" w:cs="Times New Roman" w:hint="eastAsia"/>
                <w:color w:val="333333"/>
                <w:kern w:val="0"/>
              </w:rPr>
              <w:t> </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5</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供应商提供的快递中心运营流程方案，含分发采购人行政各处室的公务邮件、公函与信件，及时送达所在校园行政工作部门等附加服务方案，由评委横向评议并打分，方案阐述详细、完整、合理可行、可操作性强的得5分，方案阐述较详细、较完整、较合理可行、可操作性较强的得3分，方案阐述简短或可操作性不强的得1分，未提供的不得分。</w:t>
            </w:r>
          </w:p>
        </w:tc>
      </w:tr>
      <w:tr w:rsidR="00023B2C" w:rsidRPr="00023B2C" w:rsidTr="00023B2C">
        <w:trPr>
          <w:trHeight w:val="2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先行赔付承诺情况</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5</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根据供应商在投标文件承诺对所有站内出现的丢件等情况，必须按照情况赔付师生，提供赔付案例截图或进行承诺的得5分，未承诺不得分。</w:t>
            </w:r>
          </w:p>
        </w:tc>
      </w:tr>
      <w:tr w:rsidR="00023B2C" w:rsidRPr="00023B2C" w:rsidTr="00023B2C">
        <w:trPr>
          <w:trHeight w:val="2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特色服务方案</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5</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根据供应商针对高校提供的特色服务方案，由评委横向评议并打分，方案阐述详细、完整、合理可行、可操作性强的得</w:t>
            </w:r>
            <w:r w:rsidRPr="00023B2C">
              <w:rPr>
                <w:rFonts w:ascii="Times New Roman" w:eastAsia="宋体" w:hAnsi="Times New Roman" w:cs="Times New Roman"/>
                <w:color w:val="333333"/>
                <w:kern w:val="0"/>
              </w:rPr>
              <w:t>5</w:t>
            </w:r>
            <w:r w:rsidRPr="00023B2C">
              <w:rPr>
                <w:rFonts w:ascii="宋体" w:eastAsia="宋体" w:hAnsi="宋体" w:cs="Times New Roman" w:hint="eastAsia"/>
                <w:color w:val="333333"/>
                <w:kern w:val="0"/>
              </w:rPr>
              <w:t>分，方案阐述较详细、较完整、较合理可行、可操作性较强的得</w:t>
            </w:r>
            <w:r w:rsidRPr="00023B2C">
              <w:rPr>
                <w:rFonts w:ascii="Times New Roman" w:eastAsia="宋体" w:hAnsi="Times New Roman" w:cs="Times New Roman"/>
                <w:color w:val="333333"/>
                <w:kern w:val="0"/>
              </w:rPr>
              <w:t>3</w:t>
            </w:r>
            <w:r w:rsidRPr="00023B2C">
              <w:rPr>
                <w:rFonts w:ascii="宋体" w:eastAsia="宋体" w:hAnsi="宋体" w:cs="Times New Roman" w:hint="eastAsia"/>
                <w:color w:val="333333"/>
                <w:kern w:val="0"/>
              </w:rPr>
              <w:t>分，方案阐述简短或可操作性不强的得</w:t>
            </w:r>
            <w:r w:rsidRPr="00023B2C">
              <w:rPr>
                <w:rFonts w:ascii="Times New Roman" w:eastAsia="宋体" w:hAnsi="Times New Roman" w:cs="Times New Roman"/>
                <w:color w:val="333333"/>
                <w:kern w:val="0"/>
              </w:rPr>
              <w:t>1</w:t>
            </w:r>
            <w:r w:rsidRPr="00023B2C">
              <w:rPr>
                <w:rFonts w:ascii="宋体" w:eastAsia="宋体" w:hAnsi="宋体" w:cs="Times New Roman" w:hint="eastAsia"/>
                <w:color w:val="333333"/>
                <w:kern w:val="0"/>
              </w:rPr>
              <w:t>分，未提供的不得分。</w:t>
            </w:r>
          </w:p>
        </w:tc>
      </w:tr>
      <w:tr w:rsidR="00023B2C" w:rsidRPr="00023B2C" w:rsidTr="00023B2C">
        <w:trPr>
          <w:trHeight w:val="480"/>
        </w:trPr>
        <w:tc>
          <w:tcPr>
            <w:tcW w:w="10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rPr>
                <w:rFonts w:ascii="Times New Roman" w:eastAsia="宋体" w:hAnsi="Times New Roman" w:cs="Times New Roman"/>
                <w:color w:val="333333"/>
                <w:kern w:val="0"/>
              </w:rPr>
            </w:pPr>
            <w:r w:rsidRPr="00023B2C">
              <w:rPr>
                <w:rFonts w:ascii="宋体" w:eastAsia="宋体" w:hAnsi="宋体" w:cs="Times New Roman" w:hint="eastAsia"/>
                <w:color w:val="333333"/>
                <w:kern w:val="0"/>
              </w:rPr>
              <w:t>合    计</w:t>
            </w:r>
          </w:p>
        </w:tc>
        <w:tc>
          <w:tcPr>
            <w:tcW w:w="400" w:type="pct"/>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023B2C" w:rsidRPr="00023B2C" w:rsidRDefault="00023B2C" w:rsidP="00023B2C">
            <w:pPr>
              <w:widowControl/>
              <w:spacing w:line="315" w:lineRule="atLeast"/>
              <w:ind w:firstLineChars="100" w:firstLine="210"/>
              <w:rPr>
                <w:rFonts w:ascii="Times New Roman" w:eastAsia="宋体" w:hAnsi="Times New Roman" w:cs="Times New Roman"/>
                <w:color w:val="333333"/>
                <w:kern w:val="0"/>
              </w:rPr>
            </w:pPr>
            <w:r w:rsidRPr="00023B2C">
              <w:rPr>
                <w:rFonts w:ascii="宋体" w:eastAsia="宋体" w:hAnsi="宋体" w:cs="Times New Roman" w:hint="eastAsia"/>
                <w:color w:val="333333"/>
                <w:kern w:val="0"/>
              </w:rPr>
              <w:t>100</w:t>
            </w:r>
          </w:p>
        </w:tc>
        <w:tc>
          <w:tcPr>
            <w:tcW w:w="3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23B2C" w:rsidRPr="00023B2C" w:rsidRDefault="00023B2C" w:rsidP="00023B2C">
            <w:pPr>
              <w:widowControl/>
              <w:spacing w:line="315" w:lineRule="atLeast"/>
              <w:ind w:firstLine="480"/>
              <w:rPr>
                <w:rFonts w:ascii="Times New Roman" w:eastAsia="宋体" w:hAnsi="Times New Roman" w:cs="Times New Roman"/>
                <w:color w:val="333333"/>
                <w:kern w:val="0"/>
              </w:rPr>
            </w:pPr>
            <w:r w:rsidRPr="00023B2C">
              <w:rPr>
                <w:rFonts w:ascii="宋体" w:eastAsia="宋体" w:hAnsi="宋体" w:cs="Times New Roman" w:hint="eastAsia"/>
                <w:color w:val="333333"/>
                <w:kern w:val="0"/>
              </w:rPr>
              <w:t>得分保留</w:t>
            </w:r>
            <w:r w:rsidRPr="00023B2C">
              <w:rPr>
                <w:rFonts w:ascii="Times New Roman" w:eastAsia="宋体" w:hAnsi="Times New Roman" w:cs="Times New Roman"/>
                <w:color w:val="333333"/>
                <w:kern w:val="0"/>
              </w:rPr>
              <w:t>2</w:t>
            </w:r>
            <w:r w:rsidRPr="00023B2C">
              <w:rPr>
                <w:rFonts w:ascii="宋体" w:eastAsia="宋体" w:hAnsi="宋体" w:cs="Times New Roman" w:hint="eastAsia"/>
                <w:color w:val="333333"/>
                <w:kern w:val="0"/>
              </w:rPr>
              <w:t>位小数</w:t>
            </w:r>
          </w:p>
        </w:tc>
      </w:tr>
    </w:tbl>
    <w:p w:rsidR="00023B2C" w:rsidRPr="00023B2C" w:rsidRDefault="00023B2C" w:rsidP="00023B2C">
      <w:pPr>
        <w:pStyle w:val="a0"/>
        <w:rPr>
          <w:rFonts w:hint="eastAsia"/>
        </w:rPr>
      </w:pPr>
    </w:p>
    <w:sectPr w:rsidR="00023B2C" w:rsidRPr="00023B2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29" w:rsidRDefault="00DE7C29">
      <w:r>
        <w:separator/>
      </w:r>
    </w:p>
  </w:endnote>
  <w:endnote w:type="continuationSeparator" w:id="0">
    <w:p w:rsidR="00DE7C29" w:rsidRDefault="00DE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9B" w:rsidRDefault="00DE7C29">
    <w:pPr>
      <w:pStyle w:val="a4"/>
      <w:tabs>
        <w:tab w:val="clear" w:pos="8306"/>
        <w:tab w:val="right" w:pos="8286"/>
      </w:tabs>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rsidR="0073799B" w:rsidRDefault="00DE7C29">
                          <w:pPr>
                            <w:pStyle w:val="a4"/>
                            <w:tabs>
                              <w:tab w:val="clear" w:pos="8306"/>
                              <w:tab w:val="right" w:pos="8286"/>
                            </w:tabs>
                            <w:jc w:val="center"/>
                          </w:pPr>
                          <w:r>
                            <w:rPr>
                              <w:rStyle w:val="a6"/>
                            </w:rPr>
                            <w:fldChar w:fldCharType="begin"/>
                          </w:r>
                          <w:r>
                            <w:rPr>
                              <w:rStyle w:val="a6"/>
                            </w:rPr>
                            <w:instrText xml:space="preserve"> PAGE </w:instrText>
                          </w:r>
                          <w:r>
                            <w:rPr>
                              <w:rStyle w:val="a6"/>
                            </w:rPr>
                            <w:fldChar w:fldCharType="separate"/>
                          </w:r>
                          <w:r w:rsidR="00026C8A">
                            <w:rPr>
                              <w:rStyle w:val="a6"/>
                              <w:noProof/>
                            </w:rPr>
                            <w:t>2</w:t>
                          </w:r>
                          <w:r>
                            <w:rPr>
                              <w:rStyle w:val="a6"/>
                            </w:rP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" filled="f" stroked="f" strokeweight="1pt">
              <v:stroke miterlimit="4"/>
              <v:textbox style="mso-fit-shape-to-text:t" inset="0,0,0,0">
                <w:txbxContent>
                  <w:p w:rsidR="0073799B" w:rsidRDefault="00DE7C29">
                    <w:pPr>
                      <w:pStyle w:val="a4"/>
                      <w:tabs>
                        <w:tab w:val="clear" w:pos="8306"/>
                        <w:tab w:val="right" w:pos="8286"/>
                      </w:tabs>
                      <w:jc w:val="center"/>
                    </w:pPr>
                    <w:r>
                      <w:rPr>
                        <w:rStyle w:val="a6"/>
                      </w:rPr>
                      <w:fldChar w:fldCharType="begin"/>
                    </w:r>
                    <w:r>
                      <w:rPr>
                        <w:rStyle w:val="a6"/>
                      </w:rPr>
                      <w:instrText xml:space="preserve"> PAGE </w:instrText>
                    </w:r>
                    <w:r>
                      <w:rPr>
                        <w:rStyle w:val="a6"/>
                      </w:rPr>
                      <w:fldChar w:fldCharType="separate"/>
                    </w:r>
                    <w:r w:rsidR="00026C8A">
                      <w:rPr>
                        <w:rStyle w:val="a6"/>
                        <w:noProof/>
                      </w:rPr>
                      <w:t>2</w:t>
                    </w:r>
                    <w:r>
                      <w:rPr>
                        <w:rStyle w:val="a6"/>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9B" w:rsidRDefault="00DE7C29">
    <w:pPr>
      <w:pStyle w:val="a4"/>
      <w:tabs>
        <w:tab w:val="clear" w:pos="4153"/>
      </w:tabs>
      <w:jc w:val="center"/>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rsidR="0073799B" w:rsidRDefault="00DE7C29">
                          <w:pPr>
                            <w:pStyle w:val="a4"/>
                          </w:pPr>
                          <w:r>
                            <w:t>第</w:t>
                          </w:r>
                          <w:r>
                            <w:t xml:space="preserve"> </w:t>
                          </w:r>
                          <w:r>
                            <w:fldChar w:fldCharType="begin"/>
                          </w:r>
                          <w:r>
                            <w:instrText xml:space="preserve"> PAGE  \* MERGEFORMAT </w:instrText>
                          </w:r>
                          <w:r>
                            <w:fldChar w:fldCharType="separate"/>
                          </w:r>
                          <w:r w:rsidR="00026C8A">
                            <w:rPr>
                              <w:noProof/>
                            </w:rPr>
                            <w:t>3</w:t>
                          </w:r>
                          <w:r>
                            <w:fldChar w:fldCharType="end"/>
                          </w:r>
                          <w:r>
                            <w:t xml:space="preserve"> </w:t>
                          </w:r>
                          <w:r>
                            <w:t>页</w:t>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" filled="f" stroked="f" strokeweight="1pt">
              <v:stroke miterlimit="4"/>
              <v:textbox style="mso-fit-shape-to-text:t" inset="0,0,0,0">
                <w:txbxContent>
                  <w:p w:rsidR="0073799B" w:rsidRDefault="00DE7C29">
                    <w:pPr>
                      <w:pStyle w:val="a4"/>
                    </w:pPr>
                    <w:r>
                      <w:t>第</w:t>
                    </w:r>
                    <w:r>
                      <w:t xml:space="preserve"> </w:t>
                    </w:r>
                    <w:r>
                      <w:fldChar w:fldCharType="begin"/>
                    </w:r>
                    <w:r>
                      <w:instrText xml:space="preserve"> PAGE  \* MERGEFORMAT </w:instrText>
                    </w:r>
                    <w:r>
                      <w:fldChar w:fldCharType="separate"/>
                    </w:r>
                    <w:r w:rsidR="00026C8A">
                      <w:rPr>
                        <w:noProof/>
                      </w:rPr>
                      <w:t>3</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29" w:rsidRDefault="00DE7C29">
      <w:r>
        <w:separator/>
      </w:r>
    </w:p>
  </w:footnote>
  <w:footnote w:type="continuationSeparator" w:id="0">
    <w:p w:rsidR="00DE7C29" w:rsidRDefault="00DE7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99B" w:rsidRDefault="007379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3BA2E"/>
    <w:multiLevelType w:val="singleLevel"/>
    <w:tmpl w:val="1593BA2E"/>
    <w:lvl w:ilvl="0">
      <w:start w:val="10"/>
      <w:numFmt w:val="chineseCounting"/>
      <w:suff w:val="nothing"/>
      <w:lvlText w:val="%1、"/>
      <w:lvlJc w:val="left"/>
      <w:rPr>
        <w:rFonts w:hint="eastAsia"/>
      </w:rPr>
    </w:lvl>
  </w:abstractNum>
  <w:abstractNum w:abstractNumId="1">
    <w:nsid w:val="20D6D7AD"/>
    <w:multiLevelType w:val="singleLevel"/>
    <w:tmpl w:val="20D6D7AD"/>
    <w:lvl w:ilvl="0">
      <w:start w:val="4"/>
      <w:numFmt w:val="chineseCounting"/>
      <w:suff w:val="space"/>
      <w:lvlText w:val="第%1节"/>
      <w:lvlJc w:val="left"/>
      <w:rPr>
        <w:rFonts w:hint="eastAsia"/>
      </w:rPr>
    </w:lvl>
  </w:abstractNum>
  <w:abstractNum w:abstractNumId="2">
    <w:nsid w:val="79362AC7"/>
    <w:multiLevelType w:val="singleLevel"/>
    <w:tmpl w:val="79362AC7"/>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3OTRiMDQ1Y2Q3N2MwNmQ1ZDRhZDAwZTMzMzUwNTMifQ=="/>
  </w:docVars>
  <w:rsids>
    <w:rsidRoot w:val="3AE45A20"/>
    <w:rsid w:val="00023B2C"/>
    <w:rsid w:val="00026C8A"/>
    <w:rsid w:val="001C6A32"/>
    <w:rsid w:val="0073799B"/>
    <w:rsid w:val="00DE7C29"/>
    <w:rsid w:val="00E13519"/>
    <w:rsid w:val="2AB7478C"/>
    <w:rsid w:val="3AE45A20"/>
    <w:rsid w:val="5C41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07EF8A-8867-4FB7-BF01-E5364A3F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Arial Unicode MS" w:hAnsi="Calibri" w:cs="Arial Unicode MS"/>
      <w:color w:val="000000"/>
      <w:kern w:val="2"/>
      <w:sz w:val="21"/>
      <w:szCs w:val="21"/>
      <w:u w:color="000000"/>
    </w:rPr>
  </w:style>
  <w:style w:type="paragraph" w:styleId="1">
    <w:name w:val="heading 1"/>
    <w:basedOn w:val="a"/>
    <w:next w:val="a"/>
    <w:uiPriority w:val="9"/>
    <w:qFormat/>
    <w:pPr>
      <w:keepNext/>
      <w:keepLines/>
      <w:spacing w:before="340" w:after="330" w:line="576" w:lineRule="auto"/>
      <w:outlineLvl w:val="0"/>
    </w:pPr>
    <w:rPr>
      <w:rFonts w:ascii="Times New Roman" w:eastAsia="Times New Roman" w:hAnsi="Times New Roman" w:cs="Times New Roman"/>
      <w:b/>
      <w:bCs/>
      <w:kern w:val="44"/>
      <w:sz w:val="72"/>
      <w:szCs w:val="72"/>
    </w:rPr>
  </w:style>
  <w:style w:type="paragraph" w:styleId="2">
    <w:name w:val="heading 2"/>
    <w:basedOn w:val="a"/>
    <w:next w:val="a"/>
    <w:uiPriority w:val="9"/>
    <w:qFormat/>
    <w:pPr>
      <w:keepNext/>
      <w:keepLines/>
      <w:spacing w:line="416" w:lineRule="auto"/>
      <w:jc w:val="center"/>
      <w:outlineLvl w:val="1"/>
    </w:pPr>
    <w:rPr>
      <w:rFonts w:ascii="Cambria" w:eastAsia="宋体" w:hAnsi="Cambria"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rPr>
      <w:rFonts w:eastAsia="宋体" w:cs="Times New Roman"/>
      <w:color w:val="auto"/>
      <w:szCs w:val="22"/>
    </w:rPr>
  </w:style>
  <w:style w:type="paragraph" w:styleId="a4">
    <w:name w:val="footer"/>
    <w:basedOn w:val="a"/>
    <w:qFormat/>
    <w:pPr>
      <w:tabs>
        <w:tab w:val="center" w:pos="4153"/>
        <w:tab w:val="right" w:pos="8306"/>
      </w:tabs>
    </w:pPr>
    <w:rPr>
      <w:rFonts w:eastAsia="Calibri" w:cs="Calibri"/>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无"/>
    <w:qFormat/>
  </w:style>
  <w:style w:type="character" w:customStyle="1" w:styleId="style3style6">
    <w:name w:val="style3 style6"/>
    <w:basedOn w:val="a1"/>
    <w:qFormat/>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a7">
    <w:name w:val="页眉与页脚"/>
    <w:qFormat/>
    <w:pPr>
      <w:tabs>
        <w:tab w:val="right" w:pos="9020"/>
      </w:tabs>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23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王阿萌</dc:creator>
  <cp:lastModifiedBy>A</cp:lastModifiedBy>
  <cp:revision>2</cp:revision>
  <dcterms:created xsi:type="dcterms:W3CDTF">2023-11-17T08:29:00Z</dcterms:created>
  <dcterms:modified xsi:type="dcterms:W3CDTF">2023-11-17T08:29:00Z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06941013628B48A7854218025A614D0E</vt:lpwstr>
  </property>
</Properties>
</file>